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2D1C4">
      <w:pPr>
        <w:spacing w:before="0" w:after="200"/>
        <w:jc w:val="center"/>
      </w:pPr>
      <w:r>
        <w:rPr>
          <w:rFonts w:ascii="Arial" w:hAnsi="Arial" w:eastAsia="Arial" w:cs="Arial"/>
          <w:b/>
          <w:bCs/>
          <w:sz w:val="30"/>
          <w:szCs w:val="30"/>
        </w:rPr>
        <w:t>2023年全国社会保险参保及基金收支情况</w:t>
      </w:r>
    </w:p>
    <w:p w14:paraId="0D1C446B">
      <w:pPr>
        <w:spacing w:before="0" w:after="300"/>
        <w:jc w:val="center"/>
      </w:pPr>
      <w:r>
        <w:rPr>
          <w:rFonts w:ascii="Arial" w:hAnsi="Arial" w:eastAsia="Arial" w:cs="Arial"/>
          <w:i/>
          <w:iCs/>
          <w:color w:val="555555"/>
          <w:sz w:val="17"/>
          <w:szCs w:val="17"/>
        </w:rPr>
        <w:t>数据来源：2023年度人力资源和社会保障事业发展统计公报（中华人民共和国人力资源和社会保障部）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1500"/>
        <w:gridCol w:w="1500"/>
        <w:gridCol w:w="2000"/>
      </w:tblGrid>
      <w:tr w14:paraId="6396C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exact"/>
          <w:tblHeader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9BB51C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保险类型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7FB35C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年末参保人数（万人）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310703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基金收入（亿元）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5E8647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基金支出（亿元）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A51DCC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年末基金累计结余（亿元）</w:t>
            </w:r>
          </w:p>
        </w:tc>
      </w:tr>
      <w:tr w14:paraId="5B065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0" w:hRule="exact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7E85B9F">
            <w:pPr>
              <w:jc w:val="both"/>
            </w:pP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4964724">
            <w:pPr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ABEB24E">
            <w:pPr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B45DE84">
            <w:pPr>
              <w:jc w:val="center"/>
            </w:pP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613033A">
            <w:pPr>
              <w:jc w:val="center"/>
            </w:pPr>
          </w:p>
        </w:tc>
      </w:tr>
      <w:tr w14:paraId="7B75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0" w:hRule="exact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DD19EE7">
            <w:pPr>
              <w:jc w:val="left"/>
            </w:pP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89ADB5F">
            <w:pPr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79BD106">
            <w:pPr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7D726A6">
            <w:pPr>
              <w:jc w:val="center"/>
            </w:pP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AD5621F">
            <w:pPr>
              <w:jc w:val="center"/>
            </w:pPr>
          </w:p>
        </w:tc>
      </w:tr>
      <w:tr w14:paraId="7A80C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0" w:hRule="exact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E6C27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7"/>
                <w:szCs w:val="17"/>
              </w:rPr>
              <w:t xml:space="preserve">  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9981973">
            <w:pPr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B6A5233">
            <w:pPr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416A0DC">
            <w:pPr>
              <w:jc w:val="center"/>
            </w:pP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B918762">
            <w:pPr>
              <w:jc w:val="center"/>
            </w:pPr>
          </w:p>
        </w:tc>
      </w:tr>
      <w:tr w14:paraId="2DE12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0" w:hRule="exact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F3619EC">
            <w:pPr>
              <w:jc w:val="left"/>
            </w:pP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0F0445F">
            <w:pPr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DACC281">
            <w:pPr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A73AD90">
            <w:pPr>
              <w:jc w:val="center"/>
            </w:pP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11395FB">
            <w:pPr>
              <w:jc w:val="center"/>
            </w:pPr>
          </w:p>
        </w:tc>
      </w:tr>
      <w:tr w14:paraId="08AF2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0" w:hRule="exact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37EE039">
            <w:pPr>
              <w:jc w:val="center"/>
            </w:pP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1949F5A">
            <w:pPr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ABB2BFA">
            <w:pPr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FE9435B">
            <w:pPr>
              <w:jc w:val="center"/>
            </w:pP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2779D77">
            <w:pPr>
              <w:jc w:val="center"/>
            </w:pPr>
          </w:p>
        </w:tc>
      </w:tr>
      <w:tr w14:paraId="43A55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0" w:hRule="exact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56C1A9A">
            <w:pPr>
              <w:jc w:val="center"/>
            </w:pP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D267E69">
            <w:pPr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FA16180">
            <w:pPr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099B8D4">
            <w:pPr>
              <w:jc w:val="center"/>
            </w:pP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2A39F1D">
            <w:pPr>
              <w:jc w:val="center"/>
            </w:pPr>
          </w:p>
        </w:tc>
      </w:tr>
      <w:tr w14:paraId="200F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0" w:hRule="exact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CB28D5B">
            <w:pPr>
              <w:jc w:val="center"/>
            </w:pP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B30AC83">
            <w:pPr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F33B749">
            <w:pPr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9198ED5">
            <w:pPr>
              <w:jc w:val="center"/>
            </w:pP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6BF356E">
            <w:pPr>
              <w:jc w:val="center"/>
            </w:pPr>
          </w:p>
        </w:tc>
      </w:tr>
    </w:tbl>
    <w:p w14:paraId="4E670A65">
      <w:pPr>
        <w:spacing w:before="220"/>
      </w:pPr>
      <w:bookmarkStart w:id="0" w:name="_GoBack"/>
      <w:bookmarkEnd w:id="0"/>
    </w:p>
    <w:sectPr>
      <w:pgSz w:w="15840" w:h="11220"/>
      <w:pgMar w:top="800" w:right="800" w:bottom="800" w:left="80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A635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209</Words>
  <Characters>215</Characters>
  <TotalTime>2</TotalTime>
  <ScaleCrop>false</ScaleCrop>
  <LinksUpToDate>false</LinksUpToDate>
  <CharactersWithSpaces>223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2026-04-20T05:55:00Z</dcterms:created>
  <dc:creator>Un-named</dc:creator>
  <cp:lastModifiedBy>Ray</cp:lastModifiedBy>
  <dcterms:modified xsi:type="dcterms:W3CDTF">2026-04-20T06:32:25Z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eyJoZGlkIjoiMGRiODQwMGE4MDRhYjRjOWQ5MTNkZjc2OTYxZmFiNWIiLCJ1c2VySWQiOiIxMzM2Nzc2MjY5In0=</vt:lpwstr>
  </property>
  <property fmtid="{D5CDD505-2E9C-101B-9397-08002B2CF9AE}" pid="3" name="KSOProductBuildVer">
    <vt:lpwstr>2052-12.1.0.25225</vt:lpwstr>
  </property>
  <property fmtid="{D5CDD505-2E9C-101B-9397-08002B2CF9AE}" pid="4" name="ICV">
    <vt:lpwstr>49760D46C3F040859CFDE5AFA74F5843_12</vt:lpwstr>
  </property>
</Properties>
</file>