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keepNext w:val="1"/>
        <w:keepLines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220" w:after="210"/>
        <w:jc w:val="both"/>
        <w:outlineLvl w:val="0"/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44"/>
          <w:szCs w:val="44"/>
          <w:u w:val="none" w:color="000000"/>
          <w:vertAlign w:val="baseline"/>
        </w:rPr>
      </w:pPr>
      <w:r>
        <w:rPr>
          <w:rFonts w:ascii="宋体" w:cs="宋体" w:hAnsi="宋体" w:eastAsia="宋体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客户端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44"/>
          <w:szCs w:val="44"/>
          <w:u w:val="none" w:color="000000"/>
          <w:vertAlign w:val="baseline"/>
          <w:rtl w:val="0"/>
          <w:lang w:val="en-US"/>
        </w:rPr>
        <w:t>/JS</w:t>
      </w:r>
      <w:r>
        <w:rPr>
          <w:rFonts w:ascii="宋体" w:cs="宋体" w:hAnsi="宋体" w:eastAsia="宋体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交互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H5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页面中需要跳转到客户端原生页面时，使用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schema_url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的方式进行跳转。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协议格式为：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single" w:color="000000"/>
          <w:vertAlign w:val="baseline"/>
          <w:rtl w:val="0"/>
          <w:lang w:val="en-US"/>
        </w:rPr>
        <w:t>bmy://host/path?id=1&amp;name=2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具体参照协议定义部分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en-US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H5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中使用方式如下：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window.location.href =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“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bmy://app.page/life/people?a=b&amp;c=d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”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;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其中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b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d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如果是多个参数组成，用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||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分开，如下：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“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bmy://app.page/life/people?a=b&amp;c=orderId=Lv1iDOwdYpiaLk3nmbOaJs5eXoRYsh1ASiaYx/fTNzg=||userId=310||orderid=78784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”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;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en-US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客户端拦截此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schema_url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并解析获得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host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path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和参数，然后进行页面跳转或弹框显示操作。</w:t>
      </w:r>
    </w:p>
    <w:p>
      <w:pPr>
        <w:pStyle w:val="正文"/>
        <w:keepNext w:val="1"/>
        <w:keepLines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40" w:after="140"/>
        <w:jc w:val="both"/>
        <w:outlineLvl w:val="1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</w:rPr>
      </w:pPr>
      <w:r>
        <w:rPr>
          <w:rFonts w:ascii="黑体" w:cs="黑体" w:hAnsi="黑体" w:eastAsia="黑体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协议定义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bmy://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为协议头，格式固定。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en-US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寿险产品相关协议如下：固定传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3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个值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.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下个页面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、参数列表：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parameter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ist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、头部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navBar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标识：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isH5navBar(0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表示原生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navBar,1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表示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H5navBar)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en-US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64" w:lineRule="auto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64" w:lineRule="auto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cs="Helvetica Neue" w:hAnsi="Helvetica Neue" w:eastAsia="Helvetica Neue"/>
          <w:sz w:val="26"/>
          <w:szCs w:val="26"/>
        </w:rPr>
        <w:tab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64" w:lineRule="auto"/>
        <w:rPr>
          <w:rFonts w:ascii="Helvetica Neue" w:cs="Helvetica Neue" w:hAnsi="Helvetica Neue" w:eastAsia="Helvetica Neue"/>
          <w:sz w:val="26"/>
          <w:szCs w:val="26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448"/>
        <w:gridCol w:w="2752"/>
        <w:gridCol w:w="2432"/>
      </w:tblGrid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协议</w:t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描述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181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64" w:lineRule="auto"/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bmy://app.page/life/nextpage</w:t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64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zh-CN" w:eastAsia="zh-CN"/>
              </w:rPr>
              <w:t>打开下级页面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</w:pPr>
            <w:r>
              <w:rPr>
                <w:rFonts w:eastAsia="Arial Unicode MS" w:hint="eastAsia"/>
                <w:sz w:val="26"/>
                <w:szCs w:val="26"/>
                <w:rtl w:val="0"/>
                <w:lang w:val="zh-TW" w:eastAsia="zh-TW"/>
              </w:rPr>
              <w:t>判断登录优先级高于打开下级页面，写了判断登录就不要写打开下级页面了</w:t>
            </w:r>
          </w:p>
        </w:tc>
      </w:tr>
      <w:tr>
        <w:tblPrEx>
          <w:shd w:val="clear" w:color="auto" w:fill="ceddeb"/>
        </w:tblPrEx>
        <w:trPr>
          <w:trHeight w:val="37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bmy://app.page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/life/product/judgeLogin</w:t>
              <w:tab/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eastAsia="Arial Unicode MS" w:hint="eastAsia"/>
                <w:sz w:val="26"/>
                <w:szCs w:val="26"/>
                <w:rtl w:val="0"/>
                <w:lang w:val="zh-TW" w:eastAsia="zh-TW"/>
              </w:rPr>
              <w:t>判断登录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7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rFonts w:ascii="Trebuchet MS" w:hAnsi="Trebuchet MS"/>
                <w:sz w:val="21"/>
                <w:szCs w:val="21"/>
                <w:rtl w:val="0"/>
              </w:rPr>
              <w:t>bmy://app.page</w:t>
            </w:r>
            <w:r>
              <w:rPr>
                <w:rFonts w:ascii="Trebuchet MS" w:hAnsi="Trebuchet MS"/>
                <w:sz w:val="21"/>
                <w:szCs w:val="21"/>
                <w:rtl w:val="0"/>
                <w:lang w:val="zh-TW" w:eastAsia="zh-TW"/>
              </w:rPr>
              <w:t>/</w:t>
            </w:r>
            <w:r>
              <w:rPr>
                <w:rFonts w:ascii="Trebuchet MS" w:hAnsi="Trebuchet MS"/>
                <w:sz w:val="21"/>
                <w:szCs w:val="21"/>
                <w:rtl w:val="0"/>
                <w:lang w:val="en-US"/>
              </w:rPr>
              <w:t>pageReturn</w:t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64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zh-CN" w:eastAsia="zh-CN"/>
              </w:rPr>
              <w:t>返回上一级页面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7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rFonts w:ascii="Trebuchet MS" w:hAnsi="Trebuchet MS"/>
                <w:sz w:val="21"/>
                <w:szCs w:val="21"/>
                <w:rtl w:val="0"/>
              </w:rPr>
              <w:t>bmy://app.page</w:t>
            </w:r>
            <w:r>
              <w:rPr>
                <w:rFonts w:ascii="Trebuchet MS" w:hAnsi="Trebuchet MS"/>
                <w:sz w:val="21"/>
                <w:szCs w:val="21"/>
                <w:rtl w:val="0"/>
                <w:lang w:val="zh-TW" w:eastAsia="zh-TW"/>
              </w:rPr>
              <w:t>/</w:t>
            </w:r>
            <w:r>
              <w:rPr>
                <w:rFonts w:ascii="Trebuchet MS" w:hAnsi="Trebuchet MS"/>
                <w:sz w:val="21"/>
                <w:szCs w:val="21"/>
                <w:rtl w:val="0"/>
                <w:lang w:val="en-US"/>
              </w:rPr>
              <w:t>pageTwoReturn</w:t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64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zh-CN" w:eastAsia="zh-CN"/>
              </w:rPr>
              <w:t>返回上两级页面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7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bmy://app.page/document</w:t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64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zh-CN" w:eastAsia="zh-CN"/>
              </w:rPr>
              <w:t>打开文档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7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bmy://app.page/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>life/returnProductList</w:t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64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zh-CN" w:eastAsia="zh-CN"/>
              </w:rPr>
              <w:t>返回产品列表页面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70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bmy://app.page/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>life/jumpToMyOrder</w:t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64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zh-CN" w:eastAsia="zh-CN"/>
              </w:rPr>
              <w:t>跳转到我的订单页面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685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"bmy://app.page/jumpToApp"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bmy://app.page/jumpToApp</w:t>
            </w:r>
            <w:r>
              <w:rPr/>
              <w:fldChar w:fldCharType="end" w:fldLock="0"/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type = pay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type = insuredAgain</w:t>
            </w:r>
          </w:p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车险订单待付款和重新投保</w:t>
            </w:r>
          </w:p>
        </w:tc>
      </w:tr>
      <w:tr>
        <w:tblPrEx>
          <w:shd w:val="clear" w:color="auto" w:fill="ceddeb"/>
        </w:tblPrEx>
        <w:trPr>
          <w:trHeight w:val="685" w:hRule="atLeast"/>
        </w:trPr>
        <w:tc>
          <w:tcPr>
            <w:tcW w:type="dxa" w:w="4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"bmy://app.page/backRefreshPage"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bmy://app.page/backRefreshPage</w:t>
            </w:r>
            <w:r>
              <w:rPr/>
              <w:fldChar w:fldCharType="end" w:fldLock="0"/>
            </w:r>
          </w:p>
        </w:tc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返回上一级页面并刷新</w:t>
            </w:r>
          </w:p>
        </w:tc>
      </w:tr>
    </w:tbl>
    <w:p>
      <w:pPr>
        <w:pStyle w:val="默认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  <w:r>
        <w:rPr>
          <w:rFonts w:ascii="Helvetica Neue" w:cs="Helvetica Neue" w:hAnsi="Helvetica Neue" w:eastAsia="Helvetica Neue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