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参数获取</w:t>
      </w:r>
    </w:p>
    <w:p>
      <w:pPr>
        <w:pStyle w:val="正文 A"/>
      </w:pP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中调用数据接口需要从客户端原生系统中获取部分参数，由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页面向客户端发起请求，客户端接收到请求后，根据各种安全规则产生参数字符串并调用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函数返回给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页面。</w:t>
      </w:r>
    </w:p>
    <w:p>
      <w:pPr>
        <w:pStyle w:val="标题 2"/>
      </w:pPr>
      <w:r>
        <w:rPr>
          <w:rtl w:val="0"/>
          <w:lang w:val="en-US"/>
        </w:rPr>
        <w:t>H5</w:t>
      </w:r>
      <w:r>
        <w:rPr>
          <w:rFonts w:ascii="黑体" w:cs="黑体" w:hAnsi="黑体" w:eastAsia="黑体"/>
          <w:rtl w:val="0"/>
          <w:lang w:val="zh-TW" w:eastAsia="zh-TW"/>
        </w:rPr>
        <w:t>端操作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需要客户端注入参数的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页面访问地址中，必需携带</w:t>
      </w:r>
      <w:r>
        <w:rPr>
          <w:rtl w:val="0"/>
          <w:lang w:val="en-US"/>
        </w:rPr>
        <w:t>inject</w:t>
      </w:r>
      <w:r>
        <w:rPr>
          <w:rFonts w:ascii="宋体" w:cs="宋体" w:hAnsi="宋体" w:eastAsia="宋体"/>
          <w:rtl w:val="0"/>
          <w:lang w:val="zh-TW" w:eastAsia="zh-TW"/>
        </w:rPr>
        <w:t>参数，参数值如下：</w:t>
      </w:r>
    </w:p>
    <w:p>
      <w:pPr>
        <w:pStyle w:val="正文 A"/>
      </w:pPr>
      <w:r>
        <w:rPr>
          <w:rtl w:val="0"/>
          <w:lang w:val="en-US"/>
        </w:rPr>
        <w:t>none</w:t>
        <w:tab/>
      </w:r>
      <w:r>
        <w:rPr>
          <w:rFonts w:ascii="宋体" w:cs="宋体" w:hAnsi="宋体" w:eastAsia="宋体"/>
          <w:rtl w:val="0"/>
          <w:lang w:val="zh-TW" w:eastAsia="zh-TW"/>
        </w:rPr>
        <w:t>不需要注入</w:t>
      </w:r>
    </w:p>
    <w:p>
      <w:pPr>
        <w:pStyle w:val="正文 A"/>
      </w:pPr>
      <w:r>
        <w:rPr>
          <w:rtl w:val="0"/>
          <w:lang w:val="en-US"/>
        </w:rPr>
        <w:t>all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需要参数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如：</w:t>
      </w:r>
      <w:r>
        <w:rPr>
          <w:rtl w:val="0"/>
          <w:lang w:val="en-US"/>
        </w:rPr>
        <w:t>http://www.baidu.com?inject=all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不需要参数的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没有任何特殊要求，按正常情况实现即可。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需要参数的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，根据手机操作系统类型使用相应的调用方式通知客户端需要参数。客户端接收到通知后，会调用</w:t>
      </w:r>
      <w:r>
        <w:rPr>
          <w:rtl w:val="0"/>
          <w:lang w:val="en-US"/>
        </w:rPr>
        <w:t>accept()</w:t>
      </w:r>
      <w:r>
        <w:rPr>
          <w:rFonts w:ascii="宋体" w:cs="宋体" w:hAnsi="宋体" w:eastAsia="宋体"/>
          <w:rtl w:val="0"/>
          <w:lang w:val="zh-TW" w:eastAsia="zh-TW"/>
        </w:rPr>
        <w:t>函数将参数返回到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应将此函数作为后续业务处理的入口。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Android</w:t>
      </w:r>
      <w:r>
        <w:rPr>
          <w:rFonts w:ascii="宋体" w:cs="宋体" w:hAnsi="宋体" w:eastAsia="宋体"/>
          <w:rtl w:val="0"/>
          <w:lang w:val="zh-TW" w:eastAsia="zh-TW"/>
        </w:rPr>
        <w:t>系统调用方式：</w:t>
      </w:r>
    </w:p>
    <w:p>
      <w:pPr>
        <w:pStyle w:val="正文 A"/>
        <w:rPr>
          <w:color w:val="ff0000"/>
          <w:u w:color="ff0000"/>
        </w:rPr>
      </w:pPr>
      <w:r>
        <w:rPr>
          <w:color w:val="ff0000"/>
          <w:u w:color="ff0000"/>
          <w:rtl w:val="0"/>
          <w:lang w:val="en-US"/>
        </w:rPr>
        <w:t>window.bmy.postMessage();</w:t>
      </w:r>
    </w:p>
    <w:p>
      <w:pPr>
        <w:pStyle w:val="正文 A"/>
      </w:pPr>
      <w:r>
        <w:rPr>
          <w:rtl w:val="0"/>
          <w:lang w:val="en-US"/>
        </w:rPr>
        <w:t>IOS</w:t>
      </w:r>
      <w:r>
        <w:rPr>
          <w:rFonts w:ascii="宋体" w:cs="宋体" w:hAnsi="宋体" w:eastAsia="宋体"/>
          <w:rtl w:val="0"/>
          <w:lang w:val="zh-TW" w:eastAsia="zh-TW"/>
        </w:rPr>
        <w:t>系统调用方式为：</w:t>
      </w:r>
    </w:p>
    <w:p>
      <w:pPr>
        <w:pStyle w:val="正文 A"/>
        <w:rPr>
          <w:color w:val="ff0000"/>
          <w:u w:color="ff0000"/>
        </w:rPr>
      </w:pPr>
      <w:r>
        <w:rPr>
          <w:color w:val="ff0000"/>
          <w:u w:color="ff0000"/>
          <w:rtl w:val="0"/>
          <w:lang w:val="en-US"/>
        </w:rPr>
        <w:t>window.webkit.messageHandlers.bmy.postMessage()</w:t>
      </w: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客户端操作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客户端应按以下步骤操作：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拦截请求的</w:t>
      </w: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地址，并阻塞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的加载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判断</w:t>
      </w: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是否携带了</w:t>
      </w:r>
      <w:r>
        <w:rPr>
          <w:rtl w:val="0"/>
          <w:lang w:val="en-US"/>
        </w:rPr>
        <w:t>inject</w:t>
      </w:r>
      <w:r>
        <w:rPr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未携带</w:t>
      </w:r>
      <w:r>
        <w:rPr>
          <w:rtl w:val="0"/>
          <w:lang w:val="en-US"/>
        </w:rPr>
        <w:t>inject</w:t>
      </w:r>
      <w:r>
        <w:rPr>
          <w:rFonts w:ascii="宋体" w:cs="宋体" w:hAnsi="宋体" w:eastAsia="宋体"/>
          <w:rtl w:val="0"/>
          <w:lang w:val="zh-TW" w:eastAsia="zh-TW"/>
        </w:rPr>
        <w:t>参数或参数值为</w:t>
      </w:r>
      <w:r>
        <w:rPr>
          <w:rtl w:val="0"/>
          <w:lang w:val="en-US"/>
        </w:rPr>
        <w:t>none</w:t>
      </w:r>
      <w:r>
        <w:rPr>
          <w:rFonts w:ascii="宋体" w:cs="宋体" w:hAnsi="宋体" w:eastAsia="宋体"/>
          <w:rtl w:val="0"/>
          <w:lang w:val="zh-TW" w:eastAsia="zh-TW"/>
        </w:rPr>
        <w:t>则继续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的加载，当前页面标记为不需要参数，不做任何其他操作。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携带了</w:t>
      </w:r>
      <w:r>
        <w:rPr>
          <w:rtl w:val="0"/>
          <w:lang w:val="en-US"/>
        </w:rPr>
        <w:t>inject</w:t>
      </w:r>
      <w:r>
        <w:rPr>
          <w:rFonts w:ascii="宋体" w:cs="宋体" w:hAnsi="宋体" w:eastAsia="宋体"/>
          <w:rtl w:val="0"/>
          <w:lang w:val="zh-TW" w:eastAsia="zh-TW"/>
        </w:rPr>
        <w:t>参数，且参数值为</w:t>
      </w:r>
      <w:r>
        <w:rPr>
          <w:rtl w:val="0"/>
          <w:lang w:val="en-US"/>
        </w:rPr>
        <w:t>all</w:t>
      </w:r>
      <w:r>
        <w:rPr>
          <w:rFonts w:ascii="宋体" w:cs="宋体" w:hAnsi="宋体" w:eastAsia="宋体"/>
          <w:rtl w:val="0"/>
          <w:lang w:val="zh-TW" w:eastAsia="zh-TW"/>
        </w:rPr>
        <w:t>，则截取</w:t>
      </w: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IP</w:t>
      </w:r>
      <w:r>
        <w:rPr>
          <w:rFonts w:ascii="宋体" w:cs="宋体" w:hAnsi="宋体" w:eastAsia="宋体"/>
          <w:rtl w:val="0"/>
          <w:lang w:val="zh-TW" w:eastAsia="zh-TW"/>
        </w:rPr>
        <w:t>或域名</w:t>
      </w:r>
      <w:r>
        <w:rPr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含</w:t>
      </w:r>
      <w:r>
        <w:rPr>
          <w:rtl w:val="0"/>
          <w:lang w:val="en-US"/>
        </w:rPr>
        <w:t>http://</w:t>
      </w:r>
      <w:r>
        <w:rPr>
          <w:rFonts w:ascii="宋体" w:cs="宋体" w:hAnsi="宋体" w:eastAsia="宋体"/>
          <w:rtl w:val="0"/>
          <w:lang w:val="zh-TW" w:eastAsia="zh-TW"/>
        </w:rPr>
        <w:t>或</w:t>
      </w:r>
      <w:r>
        <w:rPr>
          <w:rtl w:val="0"/>
          <w:lang w:val="en-US"/>
        </w:rPr>
        <w:t>https://</w:t>
      </w:r>
      <w:r>
        <w:rPr>
          <w:rFonts w:ascii="宋体" w:cs="宋体" w:hAnsi="宋体" w:eastAsia="宋体"/>
          <w:rtl w:val="0"/>
          <w:lang w:val="zh-TW" w:eastAsia="zh-TW"/>
        </w:rPr>
        <w:t>部分，不含端口部分</w:t>
      </w:r>
      <w:r>
        <w:rPr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，调用白名单接口将截取的字符串传递到服务端进行校验，校验通过则将当前页面标记为需要参数，否则标记为不需要。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校验接口调用失败则提示用户并停止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的加载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校验接口调用成功则继续加载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页面</w:t>
      </w:r>
    </w:p>
    <w:p>
      <w:pPr>
        <w:pStyle w:val="正文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加载成功后，会发起</w:t>
      </w:r>
      <w:r>
        <w:rPr>
          <w:rtl w:val="0"/>
          <w:lang w:val="en-US"/>
        </w:rPr>
        <w:t>postMessage()</w:t>
      </w:r>
      <w:r>
        <w:rPr>
          <w:rFonts w:ascii="宋体" w:cs="宋体" w:hAnsi="宋体" w:eastAsia="宋体"/>
          <w:rtl w:val="0"/>
          <w:lang w:val="zh-TW" w:eastAsia="zh-TW"/>
        </w:rPr>
        <w:t>调用，此时客户端需要根据是否需要参数标记来生产相应的参数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串；标记为不需要参数的，参数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{}</w:t>
      </w:r>
      <w:r>
        <w:rPr>
          <w:rtl w:val="0"/>
          <w:lang w:val="en-US"/>
        </w:rPr>
        <w:t>”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客户端调用</w:t>
      </w: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中定义的</w:t>
      </w:r>
      <w:r>
        <w:rPr>
          <w:rtl w:val="0"/>
          <w:lang w:val="en-US"/>
        </w:rPr>
        <w:t>accept()</w:t>
      </w:r>
      <w:r>
        <w:rPr>
          <w:rFonts w:ascii="宋体" w:cs="宋体" w:hAnsi="宋体" w:eastAsia="宋体"/>
          <w:rtl w:val="0"/>
          <w:lang w:val="zh-TW" w:eastAsia="zh-TW"/>
        </w:rPr>
        <w:t>函数将参数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串返回给</w:t>
      </w:r>
      <w:r>
        <w:rPr>
          <w:rtl w:val="0"/>
          <w:lang w:val="en-US"/>
        </w:rPr>
        <w:t>H5</w:t>
      </w:r>
    </w:p>
    <w:p>
      <w:pPr>
        <w:pStyle w:val="正文 A"/>
      </w:pPr>
    </w:p>
    <w:p>
      <w:pPr>
        <w:pStyle w:val="正文 A"/>
        <w:rPr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备注：</w:t>
      </w:r>
    </w:p>
    <w:p>
      <w:pPr>
        <w:pStyle w:val="正文 A"/>
        <w:rPr>
          <w:color w:val="ff0000"/>
          <w:u w:color="ff0000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客户端在同一个</w:t>
      </w:r>
      <w:r>
        <w:rPr>
          <w:color w:val="ff0000"/>
          <w:u w:color="ff0000"/>
          <w:rtl w:val="0"/>
          <w:lang w:val="en-US"/>
        </w:rPr>
        <w:t>webview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生命周期内，相同的</w:t>
      </w:r>
      <w:r>
        <w:rPr>
          <w:color w:val="ff0000"/>
          <w:u w:color="ff0000"/>
          <w:rtl w:val="0"/>
          <w:lang w:val="en-US"/>
        </w:rPr>
        <w:t>IP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或域名的</w:t>
      </w:r>
      <w:r>
        <w:rPr>
          <w:color w:val="ff0000"/>
          <w:u w:color="ff0000"/>
          <w:rtl w:val="0"/>
          <w:lang w:val="en-US"/>
        </w:rPr>
        <w:t>URL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只进行一次白名单校验。</w:t>
      </w:r>
    </w:p>
    <w:p>
      <w:pPr>
        <w:pStyle w:val="标题 2"/>
      </w:pPr>
      <w:r>
        <w:rPr>
          <w:rtl w:val="0"/>
          <w:lang w:val="en-US"/>
        </w:rPr>
        <w:t>JS</w:t>
      </w:r>
      <w:r>
        <w:rPr>
          <w:rFonts w:ascii="黑体" w:cs="黑体" w:hAnsi="黑体" w:eastAsia="黑体"/>
          <w:rtl w:val="0"/>
          <w:lang w:val="zh-TW" w:eastAsia="zh-TW"/>
        </w:rPr>
        <w:t>函数定义</w:t>
      </w: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accept()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接收参数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json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2"/>
        <w:ind w:left="432" w:hanging="432"/>
        <w:jc w:val="left"/>
      </w:pPr>
    </w:p>
    <w:p>
      <w:pPr>
        <w:pStyle w:val="标题 2"/>
        <w:ind w:left="324" w:hanging="324"/>
        <w:jc w:val="left"/>
      </w:pPr>
    </w:p>
    <w:p>
      <w:pPr>
        <w:pStyle w:val="标题 2"/>
        <w:ind w:left="216" w:hanging="216"/>
        <w:jc w:val="left"/>
      </w:pPr>
    </w:p>
    <w:p>
      <w:pPr>
        <w:pStyle w:val="标题 2"/>
        <w:ind w:left="108" w:hanging="108"/>
        <w:jc w:val="left"/>
      </w:pPr>
    </w:p>
    <w:p>
      <w:pPr>
        <w:pStyle w:val="标题 2"/>
      </w:pP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参数定义</w:t>
      </w: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 xml:space="preserve">是否敏感 </w:t>
            </w:r>
            <w:r>
              <w:rPr>
                <w:b w:val="1"/>
                <w:bCs w:val="1"/>
                <w:rtl w:val="0"/>
                <w:lang w:val="en-US"/>
              </w:rPr>
              <w:t>Y/N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platForm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所属平台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Android/IOS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versionCode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客户端版本号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versionName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客户端版本名称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token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令牌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2"/>
        <w:ind w:left="432" w:hanging="432"/>
        <w:jc w:val="left"/>
        <w:rPr>
          <w:lang w:val="zh-TW" w:eastAsia="zh-TW"/>
        </w:rPr>
      </w:pPr>
    </w:p>
    <w:p>
      <w:pPr>
        <w:pStyle w:val="标题 2"/>
        <w:ind w:left="324" w:hanging="324"/>
        <w:jc w:val="left"/>
        <w:rPr>
          <w:lang w:val="zh-TW" w:eastAsia="zh-TW"/>
        </w:rPr>
      </w:pPr>
    </w:p>
    <w:p>
      <w:pPr>
        <w:pStyle w:val="标题 2"/>
        <w:ind w:left="216" w:hanging="216"/>
        <w:jc w:val="left"/>
        <w:rPr>
          <w:lang w:val="zh-TW" w:eastAsia="zh-TW"/>
        </w:rPr>
      </w:pPr>
    </w:p>
    <w:p>
      <w:pPr>
        <w:pStyle w:val="标题 2"/>
        <w:ind w:left="108" w:hanging="108"/>
        <w:jc w:val="left"/>
        <w:rPr>
          <w:lang w:val="zh-TW" w:eastAsia="zh-TW"/>
        </w:rPr>
      </w:pPr>
    </w:p>
    <w:p>
      <w:pPr>
        <w:pStyle w:val="标题 2"/>
        <w:rPr>
          <w:lang w:val="zh-TW" w:eastAsia="zh-TW"/>
        </w:rPr>
      </w:pPr>
    </w:p>
    <w:p>
      <w:pPr>
        <w:pStyle w:val="正文 A"/>
      </w:pPr>
    </w:p>
    <w:p>
      <w:pPr>
        <w:pStyle w:val="标题 1"/>
      </w:pPr>
      <w:r>
        <w:rPr>
          <w:rFonts w:ascii="宋体" w:cs="宋体" w:hAnsi="宋体" w:eastAsia="宋体"/>
          <w:rtl w:val="0"/>
          <w:lang w:val="zh-TW" w:eastAsia="zh-TW"/>
        </w:rPr>
        <w:t>客户端</w:t>
      </w:r>
      <w:r>
        <w:rPr>
          <w:rtl w:val="0"/>
          <w:lang w:val="en-US"/>
        </w:rPr>
        <w:t>/JS</w:t>
      </w:r>
      <w:r>
        <w:rPr>
          <w:rFonts w:ascii="宋体" w:cs="宋体" w:hAnsi="宋体" w:eastAsia="宋体"/>
          <w:rtl w:val="0"/>
          <w:lang w:val="zh-TW" w:eastAsia="zh-TW"/>
        </w:rPr>
        <w:t>交互</w:t>
      </w:r>
    </w:p>
    <w:p>
      <w:pPr>
        <w:pStyle w:val="正文 A"/>
      </w:pP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页面中需要跳转到客户端原生页面时，使用</w:t>
      </w:r>
      <w:r>
        <w:rPr>
          <w:rtl w:val="0"/>
          <w:lang w:val="en-US"/>
        </w:rPr>
        <w:t>schema_url</w:t>
      </w:r>
      <w:r>
        <w:rPr>
          <w:rFonts w:ascii="宋体" w:cs="宋体" w:hAnsi="宋体" w:eastAsia="宋体"/>
          <w:rtl w:val="0"/>
          <w:lang w:val="zh-TW" w:eastAsia="zh-TW"/>
        </w:rPr>
        <w:t>的方式进行跳转。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协议格式为：</w:t>
      </w:r>
      <w:r>
        <w:rPr>
          <w:rtl w:val="0"/>
          <w:lang w:val="en-US"/>
        </w:rPr>
        <w:t>bmy://host/path?id=1&amp;name=2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具体参照协议定义部分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H5</w:t>
      </w:r>
      <w:r>
        <w:rPr>
          <w:rFonts w:ascii="宋体" w:cs="宋体" w:hAnsi="宋体" w:eastAsia="宋体"/>
          <w:rtl w:val="0"/>
          <w:lang w:val="zh-TW" w:eastAsia="zh-TW"/>
        </w:rPr>
        <w:t>中使用方式如下：</w:t>
      </w:r>
    </w:p>
    <w:p>
      <w:pPr>
        <w:pStyle w:val="正文 A"/>
      </w:pPr>
      <w:r>
        <w:rPr>
          <w:rtl w:val="0"/>
        </w:rPr>
        <w:t xml:space="preserve">window.location.href = </w:t>
      </w:r>
      <w:r>
        <w:rPr>
          <w:rtl w:val="0"/>
        </w:rPr>
        <w:t>“</w:t>
      </w:r>
      <w:r>
        <w:rPr>
          <w:rtl w:val="0"/>
        </w:rPr>
        <w:t>bmy://app.page/life/people?a=b&amp;c=d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客户端拦截此</w:t>
      </w:r>
      <w:r>
        <w:rPr>
          <w:rtl w:val="0"/>
          <w:lang w:val="en-US"/>
        </w:rPr>
        <w:t>schema_url</w:t>
      </w:r>
      <w:r>
        <w:rPr>
          <w:rFonts w:ascii="宋体" w:cs="宋体" w:hAnsi="宋体" w:eastAsia="宋体"/>
          <w:rtl w:val="0"/>
          <w:lang w:val="zh-TW" w:eastAsia="zh-TW"/>
        </w:rPr>
        <w:t>并解析获得</w:t>
      </w:r>
      <w:r>
        <w:rPr>
          <w:rtl w:val="0"/>
          <w:lang w:val="en-US"/>
        </w:rPr>
        <w:t>host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path</w:t>
      </w:r>
      <w:r>
        <w:rPr>
          <w:rFonts w:ascii="宋体" w:cs="宋体" w:hAnsi="宋体" w:eastAsia="宋体"/>
          <w:rtl w:val="0"/>
          <w:lang w:val="zh-TW" w:eastAsia="zh-TW"/>
        </w:rPr>
        <w:t>和参数，然后进行页面跳转或弹框显示操作。</w:t>
      </w: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协议定义</w:t>
      </w:r>
    </w:p>
    <w:p>
      <w:pPr>
        <w:pStyle w:val="正文 A"/>
      </w:pPr>
      <w:r>
        <w:rPr>
          <w:rtl w:val="0"/>
          <w:lang w:val="en-US"/>
        </w:rPr>
        <w:t>bmy://</w:t>
      </w:r>
      <w:r>
        <w:rPr>
          <w:rFonts w:ascii="宋体" w:cs="宋体" w:hAnsi="宋体" w:eastAsia="宋体"/>
          <w:rtl w:val="0"/>
          <w:lang w:val="zh-TW" w:eastAsia="zh-TW"/>
        </w:rPr>
        <w:t>为协议头，格式固定。</w:t>
      </w:r>
    </w:p>
    <w:p>
      <w:pPr>
        <w:pStyle w:val="正文 A"/>
      </w:pP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host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定义</w:t>
      </w: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1"/>
        <w:gridCol w:w="2595"/>
        <w:gridCol w:w="1050"/>
        <w:gridCol w:w="256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rtl w:val="0"/>
                <w:lang w:val="en-US"/>
              </w:rPr>
              <w:t>host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app.page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打开页面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app.dialog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显示弹框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app.call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使用第三方应用操作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left"/>
        <w:rPr>
          <w:b w:val="1"/>
          <w:bCs w:val="1"/>
        </w:rPr>
      </w:pPr>
    </w:p>
    <w:p>
      <w:pPr>
        <w:pStyle w:val="正文 A"/>
        <w:ind w:left="324" w:hanging="324"/>
        <w:jc w:val="left"/>
        <w:rPr>
          <w:b w:val="1"/>
          <w:bCs w:val="1"/>
        </w:rPr>
      </w:pPr>
    </w:p>
    <w:p>
      <w:pPr>
        <w:pStyle w:val="正文 A"/>
        <w:ind w:left="216" w:hanging="216"/>
        <w:jc w:val="left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app.page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</w:t>
      </w:r>
      <w:r>
        <w:rPr>
          <w:b w:val="1"/>
          <w:bCs w:val="1"/>
          <w:rtl w:val="0"/>
          <w:lang w:val="en-US"/>
        </w:rPr>
        <w:t>path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定义</w:t>
      </w:r>
    </w:p>
    <w:tbl>
      <w:tblPr>
        <w:tblW w:w="785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36"/>
        <w:gridCol w:w="2037"/>
        <w:gridCol w:w="1315"/>
        <w:gridCol w:w="717"/>
        <w:gridCol w:w="175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rtl w:val="0"/>
                <w:lang w:val="en-US"/>
              </w:rPr>
              <w:t>path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/webview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内嵌浏览器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/city/select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选择城市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选择成功后将回调</w:t>
            </w:r>
            <w:r>
              <w:rPr>
                <w:rtl w:val="0"/>
                <w:lang w:val="en-US"/>
              </w:rPr>
              <w:t>acceptCity(city)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/life/product/ask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寿险</w:t>
            </w:r>
            <w:r>
              <w:rPr>
                <w:rtl w:val="0"/>
                <w:lang w:val="en-US"/>
              </w:rPr>
              <w:t>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产品详情</w:t>
            </w:r>
            <w:r>
              <w:rPr>
                <w:rtl w:val="0"/>
                <w:lang w:val="en-US"/>
              </w:rPr>
              <w:t>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投保咨询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待定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/dealer/detail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经销商详情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dealerId</w:t>
            </w:r>
          </w:p>
          <w:p>
            <w:pPr>
              <w:pStyle w:val="正文 A"/>
            </w:pPr>
            <w:r>
              <w:rPr>
                <w:rtl w:val="0"/>
                <w:lang w:val="en-US"/>
              </w:rPr>
              <w:t>orderId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/life/doneOrder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寿险确认订单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orderId</w:t>
            </w:r>
          </w:p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insureConfirm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/pageReturn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页面返回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/life/product/judgeLogin?insureInfo = url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产品详情页面立即投保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判断是否登录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未登录弹出登录页面，登录了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push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到填写用户详情页面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)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insureInfo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/order/failure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寿险订单核保失败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跳转填写投保信息页面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/order/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success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寿险订单核保成功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跳转支付页面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/order/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artificialVerification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寿险订单核保成功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zh-TW" w:eastAsia="zh-TW"/>
              </w:rPr>
              <w:t>跳转保险列表页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tl w:val="0"/>
                <w:lang w:val="en-US"/>
              </w:rPr>
              <w:t>/document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打开协议条款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tl w:val="0"/>
                <w:lang w:val="en-US"/>
              </w:rPr>
              <w:t>docAddress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91"/>
                <w:tab w:val="left" w:pos="1440"/>
                <w:tab w:val="left" w:pos="2160"/>
              </w:tabs>
            </w:pPr>
            <w:r>
              <w:rPr>
                <w:rFonts w:ascii="Menlo" w:hAnsi="Menlo"/>
                <w:b w:val="1"/>
                <w:bCs w:val="1"/>
                <w:rtl w:val="0"/>
                <w:lang w:val="en-US"/>
              </w:rPr>
              <w:t>/pay/success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支付成功，跳转到我的订单已完成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91"/>
                <w:tab w:val="left" w:pos="1440"/>
                <w:tab w:val="left" w:pos="2160"/>
              </w:tabs>
            </w:pPr>
            <w:r>
              <w:rPr>
                <w:rFonts w:ascii="Menlo" w:hAnsi="Menlo"/>
                <w:b w:val="1"/>
                <w:bCs w:val="1"/>
                <w:rtl w:val="0"/>
              </w:rPr>
              <w:t>/pay/</w:t>
            </w:r>
            <w:r>
              <w:rPr>
                <w:rFonts w:ascii="Calibri" w:cs="Calibri" w:hAnsi="Calibri" w:eastAsia="Calibri"/>
                <w:b w:val="1"/>
                <w:bCs w:val="1"/>
                <w:kern w:val="2"/>
                <w:sz w:val="21"/>
                <w:szCs w:val="21"/>
                <w:rtl w:val="0"/>
                <w:lang w:val="en-US"/>
              </w:rPr>
              <w:t>failure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支付失败，跳转到我的订单待付款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91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/agent/detail/dynamicList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点击动态跳转到动态列表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91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/agent/detail/honorList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点击全部荣誉跳转到荣誉列表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91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/agent/detail/dynamicDetail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动态详情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dynamic_id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91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/agent/detail/honorDetail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  <w:widowControl w:val="0"/>
              <w:jc w:val="both"/>
            </w:pPr>
            <w:r>
              <w:rPr>
                <w:rFonts w:eastAsia="Times New Roman" w:hint="eastAsia"/>
                <w:rtl w:val="0"/>
              </w:rPr>
              <w:t>荣誉详情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honor_id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left"/>
        <w:rPr>
          <w:b w:val="1"/>
          <w:bCs w:val="1"/>
        </w:rPr>
      </w:pPr>
    </w:p>
    <w:p>
      <w:pPr>
        <w:pStyle w:val="正文 A"/>
        <w:ind w:left="324" w:hanging="324"/>
        <w:jc w:val="left"/>
        <w:rPr>
          <w:b w:val="1"/>
          <w:bCs w:val="1"/>
        </w:rPr>
      </w:pPr>
    </w:p>
    <w:p>
      <w:pPr>
        <w:pStyle w:val="正文 A"/>
        <w:ind w:left="216" w:hanging="216"/>
        <w:jc w:val="left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app.dialog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</w:t>
      </w:r>
      <w:r>
        <w:rPr>
          <w:b w:val="1"/>
          <w:bCs w:val="1"/>
          <w:rtl w:val="0"/>
          <w:lang w:val="en-US"/>
        </w:rPr>
        <w:t>path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定义</w:t>
      </w: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1"/>
        <w:gridCol w:w="2595"/>
        <w:gridCol w:w="1050"/>
        <w:gridCol w:w="256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rtl w:val="0"/>
                <w:lang w:val="en-US"/>
              </w:rPr>
              <w:t>path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91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/agent/detail/insureAdvisory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投保咨询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left"/>
        <w:rPr>
          <w:b w:val="1"/>
          <w:bCs w:val="1"/>
        </w:rPr>
      </w:pPr>
    </w:p>
    <w:p>
      <w:pPr>
        <w:pStyle w:val="正文 A"/>
        <w:ind w:left="324" w:hanging="324"/>
        <w:jc w:val="left"/>
        <w:rPr>
          <w:b w:val="1"/>
          <w:bCs w:val="1"/>
        </w:rPr>
      </w:pPr>
    </w:p>
    <w:p>
      <w:pPr>
        <w:pStyle w:val="正文 A"/>
        <w:ind w:left="216" w:hanging="216"/>
        <w:jc w:val="left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app.call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</w:t>
      </w:r>
      <w:r>
        <w:rPr>
          <w:b w:val="1"/>
          <w:bCs w:val="1"/>
          <w:rtl w:val="0"/>
          <w:lang w:val="en-US"/>
        </w:rPr>
        <w:t>path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定义</w:t>
      </w: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1"/>
        <w:gridCol w:w="2595"/>
        <w:gridCol w:w="1050"/>
        <w:gridCol w:w="256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rtl w:val="0"/>
                <w:lang w:val="en-US"/>
              </w:rPr>
              <w:t>path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/phone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拨打电话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/qq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</w:t>
            </w:r>
            <w:r>
              <w:rPr>
                <w:rtl w:val="0"/>
                <w:lang w:val="en-US"/>
              </w:rPr>
              <w:t>QQ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qq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/share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分享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title</w:t>
            </w:r>
          </w:p>
          <w:p>
            <w:pPr>
              <w:pStyle w:val="正文 A"/>
            </w:pPr>
            <w:r>
              <w:rPr>
                <w:rtl w:val="0"/>
                <w:lang w:val="en-US"/>
              </w:rPr>
              <w:t>content</w:t>
            </w:r>
          </w:p>
          <w:p>
            <w:pPr>
              <w:pStyle w:val="正文 A"/>
            </w:pPr>
            <w:r>
              <w:rPr>
                <w:rtl w:val="0"/>
                <w:lang w:val="en-US"/>
              </w:rPr>
              <w:t>linkUrl</w:t>
            </w:r>
          </w:p>
          <w:p>
            <w:pPr>
              <w:pStyle w:val="正文 A"/>
            </w:pPr>
            <w:r>
              <w:rPr>
                <w:rtl w:val="0"/>
                <w:lang w:val="en-US"/>
              </w:rPr>
              <w:t>img</w:t>
            </w:r>
          </w:p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分享由客户端调用</w:t>
            </w:r>
            <w:r>
              <w:rPr>
                <w:rtl w:val="0"/>
                <w:lang w:val="en-US"/>
              </w:rPr>
              <w:t>acceptShare()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函数发起，</w:t>
            </w:r>
            <w:r>
              <w:rPr>
                <w:rtl w:val="0"/>
                <w:lang w:val="en-US"/>
              </w:rPr>
              <w:t>H5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调用此协议传递参数给客户端。</w:t>
            </w:r>
          </w:p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其中</w:t>
            </w:r>
            <w:r>
              <w:rPr>
                <w:rtl w:val="0"/>
                <w:lang w:val="en-US"/>
              </w:rPr>
              <w:t>title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content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tl w:val="0"/>
                <w:lang w:val="en-US"/>
              </w:rPr>
              <w:t>linkUrl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为必传参数；</w:t>
            </w:r>
            <w:r>
              <w:rPr>
                <w:rtl w:val="0"/>
                <w:lang w:val="en-US"/>
              </w:rPr>
              <w:t>img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可不传，不传时系统默认使用</w:t>
            </w:r>
            <w:r>
              <w:rPr>
                <w:rtl w:val="0"/>
                <w:lang w:val="en-US"/>
              </w:rPr>
              <w:t>logo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图标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/inject</w:t>
            </w:r>
          </w:p>
        </w:tc>
        <w:tc>
          <w:tcPr>
            <w:tcW w:type="dxa" w:w="2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参数注入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left"/>
        <w:rPr>
          <w:b w:val="1"/>
          <w:bCs w:val="1"/>
        </w:rPr>
      </w:pPr>
    </w:p>
    <w:p>
      <w:pPr>
        <w:pStyle w:val="正文 A"/>
        <w:ind w:left="324" w:hanging="324"/>
        <w:jc w:val="left"/>
        <w:rPr>
          <w:b w:val="1"/>
          <w:bCs w:val="1"/>
        </w:rPr>
      </w:pPr>
    </w:p>
    <w:p>
      <w:pPr>
        <w:pStyle w:val="正文 A"/>
        <w:ind w:left="216" w:hanging="216"/>
        <w:jc w:val="left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</w:pP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协议示例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打开客户端</w:t>
      </w:r>
      <w:r>
        <w:rPr>
          <w:rtl w:val="0"/>
          <w:lang w:val="en-US"/>
        </w:rPr>
        <w:t>webview</w:t>
      </w:r>
      <w:r>
        <w:rPr>
          <w:rFonts w:ascii="宋体" w:cs="宋体" w:hAnsi="宋体" w:eastAsia="宋体"/>
          <w:rtl w:val="0"/>
          <w:lang w:val="zh-TW" w:eastAsia="zh-TW"/>
        </w:rPr>
        <w:t>页面</w:t>
      </w:r>
    </w:p>
    <w:p>
      <w:pPr>
        <w:pStyle w:val="正文 A"/>
      </w:pPr>
      <w:r>
        <w:rPr>
          <w:rtl w:val="0"/>
        </w:rPr>
        <w:t>bmy://app.page/webview?url=http://www.baidu.com</w:t>
      </w:r>
    </w:p>
    <w:p>
      <w:pPr>
        <w:pStyle w:val="正文 A"/>
        <w:rPr>
          <w:vertAlign w:val="baseline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寿险</w:t>
      </w:r>
      <w:r>
        <w:rPr>
          <w:vertAlign w:val="baseline"/>
          <w:rtl w:val="0"/>
          <w:lang w:val="en-US"/>
        </w:rPr>
        <w:t>-</w:t>
      </w:r>
      <w:r>
        <w:rPr>
          <w:rFonts w:ascii="宋体" w:cs="宋体" w:hAnsi="宋体" w:eastAsia="宋体"/>
          <w:vertAlign w:val="baseline"/>
          <w:rtl w:val="0"/>
          <w:lang w:val="zh-TW" w:eastAsia="zh-TW"/>
        </w:rPr>
        <w:t>产品详情</w:t>
      </w:r>
      <w:r>
        <w:rPr>
          <w:vertAlign w:val="baseline"/>
          <w:rtl w:val="0"/>
          <w:lang w:val="en-US"/>
        </w:rPr>
        <w:t>-</w:t>
      </w:r>
      <w:r>
        <w:rPr>
          <w:rFonts w:ascii="宋体" w:cs="宋体" w:hAnsi="宋体" w:eastAsia="宋体"/>
          <w:vertAlign w:val="baseline"/>
          <w:rtl w:val="0"/>
          <w:lang w:val="zh-TW" w:eastAsia="zh-TW"/>
        </w:rPr>
        <w:t>投保咨询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bmy://app.page/life/product/ask</w:t>
      </w: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经销商详情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bmy://app.page/dealer/detail?dealerId=1&amp;orderId=2</w:t>
      </w: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城市选择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bmy://app.page/city/select</w:t>
      </w:r>
    </w:p>
    <w:p>
      <w:pPr>
        <w:pStyle w:val="正文 A"/>
        <w:rPr>
          <w:vertAlign w:val="baseline"/>
        </w:rPr>
      </w:pP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拨打电话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bmy://app.call/phone?phone=15156079063</w:t>
      </w:r>
    </w:p>
    <w:p>
      <w:pPr>
        <w:pStyle w:val="正文 A"/>
        <w:rPr>
          <w:vertAlign w:val="baseline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打开</w:t>
      </w:r>
      <w:r>
        <w:rPr>
          <w:vertAlign w:val="baseline"/>
          <w:rtl w:val="0"/>
          <w:lang w:val="en-US"/>
        </w:rPr>
        <w:t>QQ</w:t>
      </w:r>
      <w:r>
        <w:rPr>
          <w:rFonts w:ascii="宋体" w:cs="宋体" w:hAnsi="宋体" w:eastAsia="宋体"/>
          <w:vertAlign w:val="baseline"/>
          <w:rtl w:val="0"/>
          <w:lang w:val="zh-TW" w:eastAsia="zh-TW"/>
        </w:rPr>
        <w:t>客户端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bmy://app.call/qq?qq=519974707</w:t>
      </w: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分享</w:t>
      </w:r>
    </w:p>
    <w:p>
      <w:pPr>
        <w:pStyle w:val="正文 A"/>
        <w:rPr>
          <w:vertAlign w:val="baseline"/>
        </w:rPr>
      </w:pPr>
      <w:r>
        <w:rPr>
          <w:vertAlign w:val="baseline"/>
          <w:rtl w:val="0"/>
          <w:lang w:val="en-US"/>
        </w:rPr>
        <w:t>bmy://app.call/share?title=xxx&amp;content=xxxx&amp;linkUrl=http://xxxxxx&amp;img=http://xxxxx</w:t>
      </w: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vertAlign w:val="baseline"/>
          <w:rtl w:val="0"/>
          <w:lang w:val="zh-TW" w:eastAsia="zh-TW"/>
        </w:rPr>
        <w:t>参数注入</w:t>
      </w:r>
    </w:p>
    <w:p>
      <w:pPr>
        <w:pStyle w:val="正文 A"/>
      </w:pPr>
      <w:r>
        <w:rPr>
          <w:vertAlign w:val="baseline"/>
          <w:rtl w:val="0"/>
          <w:lang w:val="en-US"/>
        </w:rPr>
        <w:t>bmy://app.call/inject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20" w:after="21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40" w:after="14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numbering" w:styleId="已导入的样式“3”">
    <w:name w:val="已导入的样式“3”"/>
    <w:pPr>
      <w:numPr>
        <w:numId w:val="3"/>
      </w:numPr>
    </w:p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C">
    <w:name w:val="正文 C"/>
    <w:next w:val="正文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