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需设计优化内容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井筒不延伸方案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因2煤含水量大，清理撒煤斜巷建议改为轨道箕斗系统15°斜巷，长度缩短为280m左右，卸载到西翼胶带巷。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主井尾绳更换硐室是否使用原设计，如何与井底车场连接。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2号管子道坡度建议调为6°多，以方便施工期间胶轮车材料运输。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从2号回风井西马头门增加与一水平南翼回风大巷相连接的贯通巷，能否以后作为机头配电硐室或机头硐室检修联巷（可作为临时变电所），方便东翼采区巷道施工期间的胶轮车材料运输。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3个煤仓维持40m能否维持不变。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下料孔位置可重新考虑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主水仓入口能否调整到北侧，井底车场硐室相应调整，以方便用1号风井进行施工，加快主水仓、泵房和中央变电所的形成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5465D"/>
    <w:multiLevelType w:val="singleLevel"/>
    <w:tmpl w:val="92D546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7590"/>
    <w:rsid w:val="1D9C7738"/>
    <w:rsid w:val="24937590"/>
    <w:rsid w:val="357613CC"/>
    <w:rsid w:val="6D8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2019-03-30T03:21:00Z</dcterms:created>
  <dc:creator>地层深处</dc:creator>
  <cp:lastModifiedBy>地层深处</cp:lastModifiedBy>
  <dcterms:modified xsi:type="dcterms:W3CDTF">2019-03-30T03:37:44Z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