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44FB4">
      <w:pPr>
        <w:pStyle w:val="3"/>
        <w:spacing w:before="1080" w:after="540" w:line="384" w:lineRule="auto"/>
        <w:jc w:val="center"/>
      </w:pPr>
      <w:r>
        <w:rPr>
          <w:rFonts w:hint="eastAsia" w:ascii="宋体" w:hAnsi="宋体" w:eastAsia="宋体" w:cs="宋体"/>
          <w:b/>
          <w:sz w:val="36"/>
          <w:lang w:eastAsia="zh-CN"/>
        </w:rPr>
        <w:t>基于年报文本挖掘的上市公司数字化转型测度及其对企业绩效的影响研究</w:t>
      </w:r>
    </w:p>
    <w:p w14:paraId="14C9542D">
      <w:pPr>
        <w:spacing w:after="600"/>
        <w:ind w:firstLine="480"/>
        <w:jc w:val="center"/>
      </w:pPr>
      <w:r>
        <w:rPr>
          <w:sz w:val="24"/>
        </w:rPr>
        <w:t>——</w:t>
      </w:r>
      <w:r>
        <w:rPr>
          <w:rFonts w:hint="eastAsia" w:ascii="宋体" w:hAnsi="宋体" w:eastAsia="宋体" w:cs="宋体"/>
          <w:sz w:val="24"/>
          <w:lang w:eastAsia="zh-CN"/>
        </w:rPr>
        <w:t>来自沪深</w:t>
      </w:r>
      <w:r>
        <w:rPr>
          <w:sz w:val="24"/>
        </w:rPr>
        <w:t>A</w:t>
      </w:r>
      <w:r>
        <w:rPr>
          <w:rFonts w:hint="eastAsia" w:ascii="宋体" w:hAnsi="宋体" w:eastAsia="宋体" w:cs="宋体"/>
          <w:sz w:val="24"/>
          <w:lang w:eastAsia="zh-CN"/>
        </w:rPr>
        <w:t>股上市公司的经验证据</w:t>
      </w:r>
    </w:p>
    <w:p w14:paraId="5C2114D7">
      <w:pPr>
        <w:jc w:val="center"/>
      </w:pPr>
    </w:p>
    <w:p w14:paraId="61C48EED">
      <w:pPr>
        <w:sectPr>
          <w:pgSz w:w="11906" w:h="16838"/>
          <w:pgMar w:top="1701" w:right="1417" w:bottom="1417" w:left="1701" w:header="720" w:footer="720" w:gutter="0"/>
          <w:cols w:space="720" w:num="1"/>
        </w:sectPr>
      </w:pPr>
      <w:bookmarkStart w:id="48" w:name="_GoBack"/>
      <w:bookmarkEnd w:id="48"/>
    </w:p>
    <w:p w14:paraId="524AB8D7">
      <w:pPr>
        <w:spacing w:after="140"/>
        <w:ind w:firstLine="0"/>
        <w:jc w:val="center"/>
      </w:pPr>
      <w:r>
        <w:rPr>
          <w:b/>
          <w:sz w:val="28"/>
        </w:rPr>
        <w:t>目　录</w:t>
      </w:r>
    </w:p>
    <w:p w14:paraId="28E22F1E">
      <w:r>
        <w:fldChar w:fldCharType="begin"/>
      </w:r>
      <w:r>
        <w:instrText xml:space="preserve"> HYPERLINK \l "_Toc_abstract" \h </w:instrText>
      </w:r>
      <w:r>
        <w:fldChar w:fldCharType="separate"/>
      </w:r>
      <w:r>
        <w:rPr>
          <w:rFonts w:hint="eastAsia"/>
          <w:color w:val="000000"/>
          <w:u w:val="none"/>
        </w:rPr>
        <w:t>摘要</w:t>
      </w:r>
      <w:r>
        <w:rPr>
          <w:rFonts w:hint="eastAsia"/>
          <w:color w:val="000000"/>
          <w:u w:val="none"/>
        </w:rPr>
        <w:fldChar w:fldCharType="end"/>
      </w:r>
    </w:p>
    <w:p w14:paraId="4A522278">
      <w:r>
        <w:fldChar w:fldCharType="begin"/>
      </w:r>
      <w:r>
        <w:instrText xml:space="preserve"> HYPERLINK \l "_Toc_sec_1" \h </w:instrText>
      </w:r>
      <w:r>
        <w:fldChar w:fldCharType="separate"/>
      </w:r>
      <w:r>
        <w:rPr>
          <w:rFonts w:hint="eastAsia"/>
          <w:color w:val="000000"/>
          <w:u w:val="none"/>
        </w:rPr>
        <w:t>一、绪论</w:t>
      </w:r>
      <w:r>
        <w:rPr>
          <w:rFonts w:hint="eastAsia"/>
          <w:color w:val="000000"/>
          <w:u w:val="none"/>
        </w:rPr>
        <w:fldChar w:fldCharType="end"/>
      </w:r>
    </w:p>
    <w:p w14:paraId="0E2C9CDD">
      <w:r>
        <w:fldChar w:fldCharType="begin"/>
      </w:r>
      <w:r>
        <w:instrText xml:space="preserve"> HYPERLINK \l "_Toc_sec_1_1" \h </w:instrText>
      </w:r>
      <w:r>
        <w:fldChar w:fldCharType="separate"/>
      </w:r>
      <w:r>
        <w:rPr>
          <w:rFonts w:hint="eastAsia"/>
          <w:color w:val="000000"/>
          <w:u w:val="none"/>
        </w:rPr>
        <w:t>（一）选题背景</w:t>
      </w:r>
      <w:r>
        <w:rPr>
          <w:rFonts w:hint="eastAsia"/>
          <w:color w:val="000000"/>
          <w:u w:val="none"/>
        </w:rPr>
        <w:fldChar w:fldCharType="end"/>
      </w:r>
    </w:p>
    <w:p w14:paraId="1C42F0B9">
      <w:r>
        <w:fldChar w:fldCharType="begin"/>
      </w:r>
      <w:r>
        <w:instrText xml:space="preserve"> HYPERLINK \l "_Toc_sec_1_2" \h </w:instrText>
      </w:r>
      <w:r>
        <w:fldChar w:fldCharType="separate"/>
      </w:r>
      <w:r>
        <w:rPr>
          <w:rFonts w:hint="eastAsia"/>
          <w:color w:val="000000"/>
          <w:u w:val="none"/>
        </w:rPr>
        <w:t>（二）研究意义</w:t>
      </w:r>
      <w:r>
        <w:rPr>
          <w:rFonts w:hint="eastAsia"/>
          <w:color w:val="000000"/>
          <w:u w:val="none"/>
        </w:rPr>
        <w:fldChar w:fldCharType="end"/>
      </w:r>
    </w:p>
    <w:p w14:paraId="47E2386C">
      <w:r>
        <w:fldChar w:fldCharType="begin"/>
      </w:r>
      <w:r>
        <w:instrText xml:space="preserve"> HYPERLINK \l "_Toc_sec_1_3" \h </w:instrText>
      </w:r>
      <w:r>
        <w:fldChar w:fldCharType="separate"/>
      </w:r>
      <w:r>
        <w:rPr>
          <w:rFonts w:hint="eastAsia"/>
          <w:color w:val="000000"/>
          <w:u w:val="none"/>
        </w:rPr>
        <w:t>（三）文献综述</w:t>
      </w:r>
      <w:r>
        <w:rPr>
          <w:rFonts w:hint="eastAsia"/>
          <w:color w:val="000000"/>
          <w:u w:val="none"/>
        </w:rPr>
        <w:fldChar w:fldCharType="end"/>
      </w:r>
    </w:p>
    <w:p w14:paraId="0B5A2253">
      <w:r>
        <w:fldChar w:fldCharType="begin"/>
      </w:r>
      <w:r>
        <w:instrText xml:space="preserve"> HYPERLINK \l "_Toc_sec_1_4" \h </w:instrText>
      </w:r>
      <w:r>
        <w:fldChar w:fldCharType="separate"/>
      </w:r>
      <w:r>
        <w:rPr>
          <w:rFonts w:hint="eastAsia"/>
          <w:color w:val="000000"/>
          <w:u w:val="none"/>
        </w:rPr>
        <w:t>（四）文献述评与研究Gap</w:t>
      </w:r>
      <w:r>
        <w:rPr>
          <w:rFonts w:hint="eastAsia"/>
          <w:color w:val="000000"/>
          <w:u w:val="none"/>
        </w:rPr>
        <w:fldChar w:fldCharType="end"/>
      </w:r>
    </w:p>
    <w:p w14:paraId="7817C6C5">
      <w:r>
        <w:fldChar w:fldCharType="begin"/>
      </w:r>
      <w:r>
        <w:instrText xml:space="preserve"> HYPERLINK \l "_Toc_sec_1_5" \h </w:instrText>
      </w:r>
      <w:r>
        <w:fldChar w:fldCharType="separate"/>
      </w:r>
      <w:r>
        <w:rPr>
          <w:rFonts w:hint="eastAsia"/>
          <w:color w:val="000000"/>
          <w:u w:val="none"/>
        </w:rPr>
        <w:t>（五）研究内容与技术路线</w:t>
      </w:r>
      <w:r>
        <w:rPr>
          <w:rFonts w:hint="eastAsia"/>
          <w:color w:val="000000"/>
          <w:u w:val="none"/>
        </w:rPr>
        <w:fldChar w:fldCharType="end"/>
      </w:r>
    </w:p>
    <w:p w14:paraId="7B619908">
      <w:r>
        <w:fldChar w:fldCharType="begin"/>
      </w:r>
      <w:r>
        <w:instrText xml:space="preserve"> HYPERLINK \l "_Toc_sec_2" \h </w:instrText>
      </w:r>
      <w:r>
        <w:fldChar w:fldCharType="separate"/>
      </w:r>
      <w:r>
        <w:rPr>
          <w:rFonts w:hint="eastAsia"/>
          <w:color w:val="000000"/>
          <w:u w:val="none"/>
        </w:rPr>
        <w:t>二、研究设计与方法</w:t>
      </w:r>
      <w:r>
        <w:rPr>
          <w:rFonts w:hint="eastAsia"/>
          <w:color w:val="000000"/>
          <w:u w:val="none"/>
        </w:rPr>
        <w:fldChar w:fldCharType="end"/>
      </w:r>
    </w:p>
    <w:p w14:paraId="7045E300">
      <w:r>
        <w:fldChar w:fldCharType="begin"/>
      </w:r>
      <w:r>
        <w:instrText xml:space="preserve"> HYPERLINK \l "_Toc_sec_2_1" \h </w:instrText>
      </w:r>
      <w:r>
        <w:fldChar w:fldCharType="separate"/>
      </w:r>
      <w:r>
        <w:rPr>
          <w:rFonts w:hint="eastAsia"/>
          <w:color w:val="000000"/>
          <w:u w:val="none"/>
        </w:rPr>
        <w:t>（一）研究框架</w:t>
      </w:r>
      <w:r>
        <w:rPr>
          <w:rFonts w:hint="eastAsia"/>
          <w:color w:val="000000"/>
          <w:u w:val="none"/>
        </w:rPr>
        <w:fldChar w:fldCharType="end"/>
      </w:r>
    </w:p>
    <w:p w14:paraId="135275E6">
      <w:r>
        <w:fldChar w:fldCharType="begin"/>
      </w:r>
      <w:r>
        <w:instrText xml:space="preserve"> HYPERLINK \l "_Toc_sec_2_2" \h </w:instrText>
      </w:r>
      <w:r>
        <w:fldChar w:fldCharType="separate"/>
      </w:r>
      <w:r>
        <w:rPr>
          <w:rFonts w:hint="eastAsia"/>
          <w:color w:val="000000"/>
          <w:u w:val="none"/>
        </w:rPr>
        <w:t>（二）数据来源与样本选择</w:t>
      </w:r>
      <w:r>
        <w:rPr>
          <w:rFonts w:hint="eastAsia"/>
          <w:color w:val="000000"/>
          <w:u w:val="none"/>
        </w:rPr>
        <w:fldChar w:fldCharType="end"/>
      </w:r>
    </w:p>
    <w:p w14:paraId="7AEFB884">
      <w:r>
        <w:fldChar w:fldCharType="begin"/>
      </w:r>
      <w:r>
        <w:instrText xml:space="preserve"> HYPERLINK \l "_Toc_sec_2_3" \h </w:instrText>
      </w:r>
      <w:r>
        <w:fldChar w:fldCharType="separate"/>
      </w:r>
      <w:r>
        <w:rPr>
          <w:rFonts w:hint="eastAsia"/>
          <w:color w:val="000000"/>
          <w:u w:val="none"/>
        </w:rPr>
        <w:t>（三）文本预处理</w:t>
      </w:r>
      <w:r>
        <w:rPr>
          <w:rFonts w:hint="eastAsia"/>
          <w:color w:val="000000"/>
          <w:u w:val="none"/>
        </w:rPr>
        <w:fldChar w:fldCharType="end"/>
      </w:r>
    </w:p>
    <w:p w14:paraId="655119FF">
      <w:r>
        <w:fldChar w:fldCharType="begin"/>
      </w:r>
      <w:r>
        <w:instrText xml:space="preserve"> HYPERLINK \l "_Toc_sec_2_4" \h </w:instrText>
      </w:r>
      <w:r>
        <w:fldChar w:fldCharType="separate"/>
      </w:r>
      <w:r>
        <w:rPr>
          <w:rFonts w:hint="eastAsia"/>
          <w:color w:val="000000"/>
          <w:u w:val="none"/>
        </w:rPr>
        <w:t>（四）数字化转型测度构建</w:t>
      </w:r>
      <w:r>
        <w:rPr>
          <w:rFonts w:hint="eastAsia"/>
          <w:color w:val="000000"/>
          <w:u w:val="none"/>
        </w:rPr>
        <w:fldChar w:fldCharType="end"/>
      </w:r>
    </w:p>
    <w:p w14:paraId="72935517">
      <w:r>
        <w:fldChar w:fldCharType="begin"/>
      </w:r>
      <w:r>
        <w:instrText xml:space="preserve"> HYPERLINK \l "_Toc_sec_2_5" \h </w:instrText>
      </w:r>
      <w:r>
        <w:fldChar w:fldCharType="separate"/>
      </w:r>
      <w:r>
        <w:rPr>
          <w:rFonts w:hint="eastAsia"/>
          <w:color w:val="000000"/>
          <w:u w:val="none"/>
        </w:rPr>
        <w:t>（五）模型设定</w:t>
      </w:r>
      <w:r>
        <w:rPr>
          <w:rFonts w:hint="eastAsia"/>
          <w:color w:val="000000"/>
          <w:u w:val="none"/>
        </w:rPr>
        <w:fldChar w:fldCharType="end"/>
      </w:r>
    </w:p>
    <w:p w14:paraId="3D24C31E">
      <w:r>
        <w:fldChar w:fldCharType="begin"/>
      </w:r>
      <w:r>
        <w:instrText xml:space="preserve"> HYPERLINK \l "_Toc_sec_3" \h </w:instrText>
      </w:r>
      <w:r>
        <w:fldChar w:fldCharType="separate"/>
      </w:r>
      <w:r>
        <w:rPr>
          <w:rFonts w:hint="eastAsia"/>
          <w:color w:val="000000"/>
          <w:u w:val="none"/>
        </w:rPr>
        <w:t>三、实证分析与结果</w:t>
      </w:r>
      <w:r>
        <w:rPr>
          <w:rFonts w:hint="eastAsia"/>
          <w:color w:val="000000"/>
          <w:u w:val="none"/>
        </w:rPr>
        <w:fldChar w:fldCharType="end"/>
      </w:r>
    </w:p>
    <w:p w14:paraId="2955F353">
      <w:r>
        <w:fldChar w:fldCharType="begin"/>
      </w:r>
      <w:r>
        <w:instrText xml:space="preserve"> HYPERLINK \l "_Toc_sec_3_1" \h </w:instrText>
      </w:r>
      <w:r>
        <w:fldChar w:fldCharType="separate"/>
      </w:r>
      <w:r>
        <w:rPr>
          <w:rFonts w:hint="eastAsia"/>
          <w:color w:val="000000"/>
          <w:u w:val="none"/>
        </w:rPr>
        <w:t>（一）描述性统计</w:t>
      </w:r>
      <w:r>
        <w:rPr>
          <w:rFonts w:hint="eastAsia"/>
          <w:color w:val="000000"/>
          <w:u w:val="none"/>
        </w:rPr>
        <w:fldChar w:fldCharType="end"/>
      </w:r>
    </w:p>
    <w:p w14:paraId="5923BE20">
      <w:r>
        <w:fldChar w:fldCharType="begin"/>
      </w:r>
      <w:r>
        <w:instrText xml:space="preserve"> HYPERLINK \l "_Toc_sec_3_2" \h </w:instrText>
      </w:r>
      <w:r>
        <w:fldChar w:fldCharType="separate"/>
      </w:r>
      <w:r>
        <w:rPr>
          <w:rFonts w:hint="eastAsia"/>
          <w:color w:val="000000"/>
          <w:u w:val="none"/>
        </w:rPr>
        <w:t>（二）信度检验与效度检验</w:t>
      </w:r>
      <w:r>
        <w:rPr>
          <w:rFonts w:hint="eastAsia"/>
          <w:color w:val="000000"/>
          <w:u w:val="none"/>
        </w:rPr>
        <w:fldChar w:fldCharType="end"/>
      </w:r>
    </w:p>
    <w:p w14:paraId="699C9FAD">
      <w:r>
        <w:fldChar w:fldCharType="begin"/>
      </w:r>
      <w:r>
        <w:instrText xml:space="preserve"> HYPERLINK \l "_Toc_sec_3_3" \h </w:instrText>
      </w:r>
      <w:r>
        <w:fldChar w:fldCharType="separate"/>
      </w:r>
      <w:r>
        <w:rPr>
          <w:rFonts w:hint="eastAsia"/>
          <w:color w:val="000000"/>
          <w:u w:val="none"/>
        </w:rPr>
        <w:t>（三）相关性分析</w:t>
      </w:r>
      <w:r>
        <w:rPr>
          <w:rFonts w:hint="eastAsia"/>
          <w:color w:val="000000"/>
          <w:u w:val="none"/>
        </w:rPr>
        <w:fldChar w:fldCharType="end"/>
      </w:r>
    </w:p>
    <w:p w14:paraId="042A2E71">
      <w:r>
        <w:fldChar w:fldCharType="begin"/>
      </w:r>
      <w:r>
        <w:instrText xml:space="preserve"> HYPERLINK \l "_Toc_sec_3_4" \h </w:instrText>
      </w:r>
      <w:r>
        <w:fldChar w:fldCharType="separate"/>
      </w:r>
      <w:r>
        <w:rPr>
          <w:rFonts w:hint="eastAsia"/>
          <w:color w:val="000000"/>
          <w:u w:val="none"/>
        </w:rPr>
        <w:t>（四）基准回归分析</w:t>
      </w:r>
      <w:r>
        <w:rPr>
          <w:rFonts w:hint="eastAsia"/>
          <w:color w:val="000000"/>
          <w:u w:val="none"/>
        </w:rPr>
        <w:fldChar w:fldCharType="end"/>
      </w:r>
    </w:p>
    <w:p w14:paraId="15961654">
      <w:r>
        <w:fldChar w:fldCharType="begin"/>
      </w:r>
      <w:r>
        <w:instrText xml:space="preserve"> HYPERLINK \l "_Toc_sec_3_5" \h </w:instrText>
      </w:r>
      <w:r>
        <w:fldChar w:fldCharType="separate"/>
      </w:r>
      <w:r>
        <w:rPr>
          <w:rFonts w:hint="eastAsia"/>
          <w:color w:val="000000"/>
          <w:u w:val="none"/>
        </w:rPr>
        <w:t>（五）稳健性检验与异质性分析</w:t>
      </w:r>
      <w:r>
        <w:rPr>
          <w:rFonts w:hint="eastAsia"/>
          <w:color w:val="000000"/>
          <w:u w:val="none"/>
        </w:rPr>
        <w:fldChar w:fldCharType="end"/>
      </w:r>
    </w:p>
    <w:p w14:paraId="280D10E1">
      <w:r>
        <w:fldChar w:fldCharType="begin"/>
      </w:r>
      <w:r>
        <w:instrText xml:space="preserve"> HYPERLINK \l "_Toc_sec_3_6" \h </w:instrText>
      </w:r>
      <w:r>
        <w:fldChar w:fldCharType="separate"/>
      </w:r>
      <w:r>
        <w:rPr>
          <w:rFonts w:hint="eastAsia"/>
          <w:color w:val="000000"/>
          <w:u w:val="none"/>
        </w:rPr>
        <w:t>（六）结果讨论</w:t>
      </w:r>
      <w:r>
        <w:rPr>
          <w:rFonts w:hint="eastAsia"/>
          <w:color w:val="000000"/>
          <w:u w:val="none"/>
        </w:rPr>
        <w:fldChar w:fldCharType="end"/>
      </w:r>
    </w:p>
    <w:p w14:paraId="493B1579">
      <w:r>
        <w:fldChar w:fldCharType="begin"/>
      </w:r>
      <w:r>
        <w:instrText xml:space="preserve"> HYPERLINK \l "_Toc_sec_4" \h </w:instrText>
      </w:r>
      <w:r>
        <w:fldChar w:fldCharType="separate"/>
      </w:r>
      <w:r>
        <w:rPr>
          <w:rFonts w:hint="eastAsia"/>
          <w:color w:val="000000"/>
          <w:u w:val="none"/>
        </w:rPr>
        <w:t>四、结论与展望</w:t>
      </w:r>
      <w:r>
        <w:rPr>
          <w:rFonts w:hint="eastAsia"/>
          <w:color w:val="000000"/>
          <w:u w:val="none"/>
        </w:rPr>
        <w:fldChar w:fldCharType="end"/>
      </w:r>
    </w:p>
    <w:p w14:paraId="753851FE">
      <w:r>
        <w:fldChar w:fldCharType="begin"/>
      </w:r>
      <w:r>
        <w:instrText xml:space="preserve"> HYPERLINK \l "_Toc_sec_4_1" \h </w:instrText>
      </w:r>
      <w:r>
        <w:fldChar w:fldCharType="separate"/>
      </w:r>
      <w:r>
        <w:rPr>
          <w:rFonts w:hint="eastAsia"/>
          <w:color w:val="000000"/>
          <w:u w:val="none"/>
        </w:rPr>
        <w:t>（一）主要发现</w:t>
      </w:r>
      <w:r>
        <w:rPr>
          <w:rFonts w:hint="eastAsia"/>
          <w:color w:val="000000"/>
          <w:u w:val="none"/>
        </w:rPr>
        <w:fldChar w:fldCharType="end"/>
      </w:r>
    </w:p>
    <w:p w14:paraId="6EBF394F">
      <w:r>
        <w:fldChar w:fldCharType="begin"/>
      </w:r>
      <w:r>
        <w:instrText xml:space="preserve"> HYPERLINK \l "_Toc_sec_4_2" \h </w:instrText>
      </w:r>
      <w:r>
        <w:fldChar w:fldCharType="separate"/>
      </w:r>
      <w:r>
        <w:rPr>
          <w:rFonts w:hint="eastAsia"/>
          <w:color w:val="000000"/>
          <w:u w:val="none"/>
        </w:rPr>
        <w:t>（二）研究局限</w:t>
      </w:r>
      <w:r>
        <w:rPr>
          <w:rFonts w:hint="eastAsia"/>
          <w:color w:val="000000"/>
          <w:u w:val="none"/>
        </w:rPr>
        <w:fldChar w:fldCharType="end"/>
      </w:r>
    </w:p>
    <w:p w14:paraId="6A759831">
      <w:r>
        <w:fldChar w:fldCharType="begin"/>
      </w:r>
      <w:r>
        <w:instrText xml:space="preserve"> HYPERLINK \l "_Toc_sec_4_3" \h </w:instrText>
      </w:r>
      <w:r>
        <w:fldChar w:fldCharType="separate"/>
      </w:r>
      <w:r>
        <w:rPr>
          <w:rFonts w:hint="eastAsia"/>
          <w:color w:val="000000"/>
          <w:u w:val="none"/>
        </w:rPr>
        <w:t>（三）未来展望</w:t>
      </w:r>
      <w:r>
        <w:rPr>
          <w:rFonts w:hint="eastAsia"/>
          <w:color w:val="000000"/>
          <w:u w:val="none"/>
        </w:rPr>
        <w:fldChar w:fldCharType="end"/>
      </w:r>
    </w:p>
    <w:p w14:paraId="732DD864">
      <w:r>
        <w:fldChar w:fldCharType="begin"/>
      </w:r>
      <w:r>
        <w:instrText xml:space="preserve"> HYPERLINK \l "_Toc_sec_ref" \h </w:instrText>
      </w:r>
      <w:r>
        <w:fldChar w:fldCharType="separate"/>
      </w:r>
      <w:r>
        <w:rPr>
          <w:rFonts w:hint="eastAsia"/>
          <w:color w:val="000000"/>
          <w:u w:val="none"/>
        </w:rPr>
        <w:t>参考文献</w:t>
      </w:r>
      <w:r>
        <w:rPr>
          <w:rFonts w:hint="eastAsia"/>
          <w:color w:val="000000"/>
          <w:u w:val="none"/>
        </w:rPr>
        <w:fldChar w:fldCharType="end"/>
      </w:r>
    </w:p>
    <w:p w14:paraId="228F1595">
      <w:pPr>
        <w:spacing w:after="120"/>
        <w:ind w:firstLine="0"/>
        <w:jc w:val="both"/>
      </w:pPr>
      <w:bookmarkStart w:id="0" w:name="_Toc_abstract"/>
      <w:r>
        <w:rPr>
          <w:rFonts w:hint="eastAsia" w:ascii="宋体" w:hAnsi="宋体" w:eastAsia="宋体" w:cs="宋体"/>
          <w:b/>
          <w:lang w:eastAsia="zh-CN"/>
        </w:rPr>
        <w:t>摘　要</w:t>
      </w:r>
      <w:bookmarkEnd w:id="0"/>
    </w:p>
    <w:p w14:paraId="13B67BEE">
      <w:pPr>
        <w:spacing w:line="300" w:lineRule="auto"/>
        <w:ind w:firstLine="0"/>
        <w:jc w:val="both"/>
      </w:pPr>
      <w:r>
        <w:rPr>
          <w:rFonts w:hint="eastAsia" w:ascii="宋体" w:hAnsi="宋体" w:eastAsia="宋体" w:cs="宋体"/>
          <w:sz w:val="22"/>
          <w:lang w:eastAsia="zh-CN"/>
        </w:rPr>
        <w:t>在数字经济上升为国家战略的背景下，数字化转型已成为企业培育竞争优势的关键路径，但如何对企业数字化转型程度进行可量化、可检验的测度，仍是实证研究亟待解决的基础性问题。本文以测度构建为核心方法议题，基于</w:t>
      </w:r>
      <w:r>
        <w:rPr>
          <w:sz w:val="22"/>
        </w:rPr>
        <w:t>2019—2023</w:t>
      </w:r>
      <w:r>
        <w:rPr>
          <w:rFonts w:hint="eastAsia" w:ascii="宋体" w:hAnsi="宋体" w:eastAsia="宋体" w:cs="宋体"/>
          <w:sz w:val="22"/>
          <w:lang w:eastAsia="zh-CN"/>
        </w:rPr>
        <w:t>年沪深</w:t>
      </w:r>
      <w:r>
        <w:rPr>
          <w:sz w:val="22"/>
        </w:rPr>
        <w:t>A</w:t>
      </w:r>
      <w:r>
        <w:rPr>
          <w:rFonts w:hint="eastAsia" w:ascii="宋体" w:hAnsi="宋体" w:eastAsia="宋体" w:cs="宋体"/>
          <w:sz w:val="22"/>
          <w:lang w:eastAsia="zh-CN"/>
        </w:rPr>
        <w:t>股</w:t>
      </w:r>
      <w:r>
        <w:rPr>
          <w:sz w:val="22"/>
        </w:rPr>
        <w:t>428</w:t>
      </w:r>
      <w:r>
        <w:rPr>
          <w:rFonts w:hint="eastAsia" w:ascii="宋体" w:hAnsi="宋体" w:eastAsia="宋体" w:cs="宋体"/>
          <w:sz w:val="22"/>
          <w:lang w:eastAsia="zh-CN"/>
        </w:rPr>
        <w:t>家上市公司的年报文本，按照</w:t>
      </w:r>
      <w:r>
        <w:rPr>
          <w:sz w:val="22"/>
        </w:rPr>
        <w:t>"</w:t>
      </w:r>
      <w:r>
        <w:rPr>
          <w:rFonts w:hint="eastAsia" w:ascii="宋体" w:hAnsi="宋体" w:eastAsia="宋体" w:cs="宋体"/>
          <w:sz w:val="22"/>
          <w:lang w:eastAsia="zh-CN"/>
        </w:rPr>
        <w:t>数据获取</w:t>
      </w:r>
      <w:r>
        <w:rPr>
          <w:sz w:val="22"/>
        </w:rPr>
        <w:t>—</w:t>
      </w:r>
      <w:r>
        <w:rPr>
          <w:rFonts w:hint="eastAsia" w:ascii="宋体" w:hAnsi="宋体" w:eastAsia="宋体" w:cs="宋体"/>
          <w:sz w:val="22"/>
          <w:lang w:eastAsia="zh-CN"/>
        </w:rPr>
        <w:t>文本预处理</w:t>
      </w:r>
      <w:r>
        <w:rPr>
          <w:sz w:val="22"/>
        </w:rPr>
        <w:t>—</w:t>
      </w:r>
      <w:r>
        <w:rPr>
          <w:rFonts w:hint="eastAsia" w:ascii="宋体" w:hAnsi="宋体" w:eastAsia="宋体" w:cs="宋体"/>
          <w:sz w:val="22"/>
          <w:lang w:eastAsia="zh-CN"/>
        </w:rPr>
        <w:t>测度构建</w:t>
      </w:r>
      <w:r>
        <w:rPr>
          <w:sz w:val="22"/>
        </w:rPr>
        <w:t>—</w:t>
      </w:r>
      <w:r>
        <w:rPr>
          <w:rFonts w:hint="eastAsia" w:ascii="宋体" w:hAnsi="宋体" w:eastAsia="宋体" w:cs="宋体"/>
          <w:sz w:val="22"/>
          <w:lang w:eastAsia="zh-CN"/>
        </w:rPr>
        <w:t>信效度检验</w:t>
      </w:r>
      <w:r>
        <w:rPr>
          <w:sz w:val="22"/>
        </w:rPr>
        <w:t>—</w:t>
      </w:r>
      <w:r>
        <w:rPr>
          <w:rFonts w:hint="eastAsia" w:ascii="宋体" w:hAnsi="宋体" w:eastAsia="宋体" w:cs="宋体"/>
          <w:sz w:val="22"/>
          <w:lang w:eastAsia="zh-CN"/>
        </w:rPr>
        <w:t>回归分析</w:t>
      </w:r>
      <w:r>
        <w:rPr>
          <w:sz w:val="22"/>
        </w:rPr>
        <w:t>"</w:t>
      </w:r>
      <w:r>
        <w:rPr>
          <w:rFonts w:hint="eastAsia" w:ascii="宋体" w:hAnsi="宋体" w:eastAsia="宋体" w:cs="宋体"/>
          <w:sz w:val="22"/>
          <w:lang w:eastAsia="zh-CN"/>
        </w:rPr>
        <w:t>五步流水线，构建企业数字化转型指数（</w:t>
      </w:r>
      <w:r>
        <w:rPr>
          <w:sz w:val="22"/>
        </w:rPr>
        <w:t>DTI</w:t>
      </w:r>
      <w:r>
        <w:rPr>
          <w:rFonts w:hint="eastAsia" w:ascii="宋体" w:hAnsi="宋体" w:eastAsia="宋体" w:cs="宋体"/>
          <w:sz w:val="22"/>
          <w:lang w:eastAsia="zh-CN"/>
        </w:rPr>
        <w:t>）：首先爬取巨潮资讯网披露的</w:t>
      </w:r>
      <w:r>
        <w:rPr>
          <w:sz w:val="22"/>
        </w:rPr>
        <w:t>2140</w:t>
      </w:r>
      <w:r>
        <w:rPr>
          <w:rFonts w:hint="eastAsia" w:ascii="宋体" w:hAnsi="宋体" w:eastAsia="宋体" w:cs="宋体"/>
          <w:sz w:val="22"/>
          <w:lang w:eastAsia="zh-CN"/>
        </w:rPr>
        <w:t>份年度报告，经清洗、去停用词与分词后，采用</w:t>
      </w:r>
      <w:r>
        <w:rPr>
          <w:sz w:val="22"/>
        </w:rPr>
        <w:t>"</w:t>
      </w:r>
      <w:r>
        <w:rPr>
          <w:rFonts w:hint="eastAsia" w:ascii="宋体" w:hAnsi="宋体" w:eastAsia="宋体" w:cs="宋体"/>
          <w:sz w:val="22"/>
          <w:lang w:eastAsia="zh-CN"/>
        </w:rPr>
        <w:t>种子词典</w:t>
      </w:r>
      <w:r>
        <w:rPr>
          <w:sz w:val="22"/>
        </w:rPr>
        <w:t>+Word2Vec</w:t>
      </w:r>
      <w:r>
        <w:rPr>
          <w:rFonts w:hint="eastAsia" w:ascii="宋体" w:hAnsi="宋体" w:eastAsia="宋体" w:cs="宋体"/>
          <w:sz w:val="22"/>
          <w:lang w:eastAsia="zh-CN"/>
        </w:rPr>
        <w:t>相似词扩充</w:t>
      </w:r>
      <w:r>
        <w:rPr>
          <w:sz w:val="22"/>
        </w:rPr>
        <w:t>"</w:t>
      </w:r>
      <w:r>
        <w:rPr>
          <w:rFonts w:hint="eastAsia" w:ascii="宋体" w:hAnsi="宋体" w:eastAsia="宋体" w:cs="宋体"/>
          <w:sz w:val="22"/>
          <w:lang w:eastAsia="zh-CN"/>
        </w:rPr>
        <w:t>策略构建数字化转型词典；随后以数字化关键词词频占年报总词频的比值构建测度，并运用</w:t>
      </w:r>
      <w:r>
        <w:rPr>
          <w:sz w:val="22"/>
        </w:rPr>
        <w:t>Cronbach's α</w:t>
      </w:r>
      <w:r>
        <w:rPr>
          <w:rFonts w:hint="eastAsia" w:ascii="宋体" w:hAnsi="宋体" w:eastAsia="宋体" w:cs="宋体"/>
          <w:sz w:val="22"/>
          <w:lang w:eastAsia="zh-CN"/>
        </w:rPr>
        <w:t>系数、分半信度与收敛效度检验评估测度质量；最后将其作为核心解释变量纳入面板回归模型，考察数字化转型对企业绩效（</w:t>
      </w:r>
      <w:r>
        <w:rPr>
          <w:sz w:val="22"/>
        </w:rPr>
        <w:t>ROA</w:t>
      </w:r>
      <w:r>
        <w:rPr>
          <w:rFonts w:hint="eastAsia" w:ascii="宋体" w:hAnsi="宋体" w:eastAsia="宋体" w:cs="宋体"/>
          <w:sz w:val="22"/>
          <w:lang w:eastAsia="zh-CN"/>
        </w:rPr>
        <w:t>）的影响。</w:t>
      </w:r>
    </w:p>
    <w:p w14:paraId="1FD400F6">
      <w:pPr>
        <w:spacing w:line="300" w:lineRule="auto"/>
        <w:ind w:firstLine="0"/>
        <w:jc w:val="both"/>
      </w:pPr>
      <w:r>
        <w:rPr>
          <w:rFonts w:hint="eastAsia" w:ascii="宋体" w:hAnsi="宋体" w:eastAsia="宋体" w:cs="宋体"/>
          <w:sz w:val="22"/>
          <w:lang w:eastAsia="zh-CN"/>
        </w:rPr>
        <w:t>研究发现：（</w:t>
      </w:r>
      <w:r>
        <w:rPr>
          <w:sz w:val="22"/>
        </w:rPr>
        <w:t>1</w:t>
      </w:r>
      <w:r>
        <w:rPr>
          <w:rFonts w:hint="eastAsia" w:ascii="宋体" w:hAnsi="宋体" w:eastAsia="宋体" w:cs="宋体"/>
          <w:sz w:val="22"/>
          <w:lang w:eastAsia="zh-CN"/>
        </w:rPr>
        <w:t>）</w:t>
      </w:r>
      <w:r>
        <w:rPr>
          <w:sz w:val="22"/>
        </w:rPr>
        <w:t>DTI</w:t>
      </w:r>
      <w:r>
        <w:rPr>
          <w:rFonts w:hint="eastAsia" w:ascii="宋体" w:hAnsi="宋体" w:eastAsia="宋体" w:cs="宋体"/>
          <w:sz w:val="22"/>
          <w:lang w:eastAsia="zh-CN"/>
        </w:rPr>
        <w:t>均值为</w:t>
      </w:r>
      <w:r>
        <w:rPr>
          <w:sz w:val="22"/>
        </w:rPr>
        <w:t>1.87%</w:t>
      </w:r>
      <w:r>
        <w:rPr>
          <w:rFonts w:hint="eastAsia" w:ascii="宋体" w:hAnsi="宋体" w:eastAsia="宋体" w:cs="宋体"/>
          <w:sz w:val="22"/>
          <w:lang w:eastAsia="zh-CN"/>
        </w:rPr>
        <w:t>，且呈逐年上升趋势，测度具有良好的内部一致性信度（</w:t>
      </w:r>
      <w:r>
        <w:rPr>
          <w:sz w:val="22"/>
        </w:rPr>
        <w:t>α=0.87</w:t>
      </w:r>
      <w:r>
        <w:rPr>
          <w:rFonts w:hint="eastAsia" w:ascii="宋体" w:hAnsi="宋体" w:eastAsia="宋体" w:cs="宋体"/>
          <w:sz w:val="22"/>
          <w:lang w:eastAsia="zh-CN"/>
        </w:rPr>
        <w:t>）与收敛效度；（</w:t>
      </w:r>
      <w:r>
        <w:rPr>
          <w:sz w:val="22"/>
        </w:rPr>
        <w:t>2</w:t>
      </w:r>
      <w:r>
        <w:rPr>
          <w:rFonts w:hint="eastAsia" w:ascii="宋体" w:hAnsi="宋体" w:eastAsia="宋体" w:cs="宋体"/>
          <w:sz w:val="22"/>
          <w:lang w:eastAsia="zh-CN"/>
        </w:rPr>
        <w:t>）数字化转型程度每提高</w:t>
      </w:r>
      <w:r>
        <w:rPr>
          <w:sz w:val="22"/>
        </w:rPr>
        <w:t>1</w:t>
      </w:r>
      <w:r>
        <w:rPr>
          <w:rFonts w:hint="eastAsia" w:ascii="宋体" w:hAnsi="宋体" w:eastAsia="宋体" w:cs="宋体"/>
          <w:sz w:val="22"/>
          <w:lang w:eastAsia="zh-CN"/>
        </w:rPr>
        <w:t>个标准差，企业总资产收益率平均提升约</w:t>
      </w:r>
      <w:r>
        <w:rPr>
          <w:sz w:val="22"/>
        </w:rPr>
        <w:t>0.21</w:t>
      </w:r>
      <w:r>
        <w:rPr>
          <w:rFonts w:hint="eastAsia" w:ascii="宋体" w:hAnsi="宋体" w:eastAsia="宋体" w:cs="宋体"/>
          <w:sz w:val="22"/>
          <w:lang w:eastAsia="zh-CN"/>
        </w:rPr>
        <w:t>个百分点，该效应在控制企业规模、杠杆率、股权集中度等变量后依然稳健；（</w:t>
      </w:r>
      <w:r>
        <w:rPr>
          <w:sz w:val="22"/>
        </w:rPr>
        <w:t>3</w:t>
      </w:r>
      <w:r>
        <w:rPr>
          <w:rFonts w:hint="eastAsia" w:ascii="宋体" w:hAnsi="宋体" w:eastAsia="宋体" w:cs="宋体"/>
          <w:sz w:val="22"/>
          <w:lang w:eastAsia="zh-CN"/>
        </w:rPr>
        <w:t>）异质性分析表明，数字化转型的绩效提升效应在国有企业和高技术行业中更为显著。研究结论为</w:t>
      </w:r>
      <w:r>
        <w:rPr>
          <w:sz w:val="22"/>
        </w:rPr>
        <w:t>"</w:t>
      </w:r>
      <w:r>
        <w:rPr>
          <w:rFonts w:hint="eastAsia" w:ascii="宋体" w:hAnsi="宋体" w:eastAsia="宋体" w:cs="宋体"/>
          <w:sz w:val="22"/>
          <w:lang w:eastAsia="zh-CN"/>
        </w:rPr>
        <w:t>文本测度</w:t>
      </w:r>
      <w:r>
        <w:rPr>
          <w:sz w:val="22"/>
        </w:rPr>
        <w:t>—</w:t>
      </w:r>
      <w:r>
        <w:rPr>
          <w:rFonts w:hint="eastAsia" w:ascii="宋体" w:hAnsi="宋体" w:eastAsia="宋体" w:cs="宋体"/>
          <w:sz w:val="22"/>
          <w:lang w:eastAsia="zh-CN"/>
        </w:rPr>
        <w:t>信效度检验</w:t>
      </w:r>
      <w:r>
        <w:rPr>
          <w:sz w:val="22"/>
        </w:rPr>
        <w:t>—</w:t>
      </w:r>
      <w:r>
        <w:rPr>
          <w:rFonts w:hint="eastAsia" w:ascii="宋体" w:hAnsi="宋体" w:eastAsia="宋体" w:cs="宋体"/>
          <w:sz w:val="22"/>
          <w:lang w:eastAsia="zh-CN"/>
        </w:rPr>
        <w:t>经济后果检验</w:t>
      </w:r>
      <w:r>
        <w:rPr>
          <w:sz w:val="22"/>
        </w:rPr>
        <w:t>"</w:t>
      </w:r>
      <w:r>
        <w:rPr>
          <w:rFonts w:hint="eastAsia" w:ascii="宋体" w:hAnsi="宋体" w:eastAsia="宋体" w:cs="宋体"/>
          <w:sz w:val="22"/>
          <w:lang w:eastAsia="zh-CN"/>
        </w:rPr>
        <w:t>的规范化研究范式提供了示范，也为企业数字化战略决策提供了经验依据。</w:t>
      </w:r>
    </w:p>
    <w:p w14:paraId="1EE9FE7A">
      <w:pPr>
        <w:spacing w:before="120"/>
        <w:ind w:firstLine="0"/>
        <w:jc w:val="both"/>
      </w:pPr>
      <w:r>
        <w:rPr>
          <w:rFonts w:hint="eastAsia" w:ascii="宋体" w:hAnsi="宋体" w:eastAsia="宋体" w:cs="宋体"/>
          <w:b/>
          <w:lang w:eastAsia="zh-CN"/>
        </w:rPr>
        <w:t>关键词：</w:t>
      </w:r>
      <w:r>
        <w:rPr>
          <w:rFonts w:hint="eastAsia" w:ascii="宋体" w:hAnsi="宋体" w:eastAsia="宋体" w:cs="宋体"/>
          <w:lang w:eastAsia="zh-CN"/>
        </w:rPr>
        <w:t>数字化转型；文本挖掘；测度构建；年报文本；信度检验；面板回归</w:t>
      </w:r>
    </w:p>
    <w:p w14:paraId="27DD2625">
      <w:pPr>
        <w:spacing w:before="90"/>
        <w:ind w:firstLine="0"/>
        <w:jc w:val="both"/>
      </w:pPr>
      <w:r>
        <w:rPr>
          <w:rFonts w:hint="eastAsia" w:ascii="宋体" w:hAnsi="宋体" w:eastAsia="宋体" w:cs="宋体"/>
          <w:color w:val="666666"/>
          <w:sz w:val="18"/>
          <w:lang w:eastAsia="zh-CN"/>
        </w:rPr>
        <w:t>说明：本文为大数据专业课程</w:t>
      </w:r>
      <w:r>
        <w:rPr>
          <w:color w:val="666666"/>
          <w:sz w:val="18"/>
        </w:rPr>
        <w:t>"</w:t>
      </w:r>
      <w:r>
        <w:rPr>
          <w:rFonts w:hint="eastAsia" w:ascii="宋体" w:hAnsi="宋体" w:eastAsia="宋体" w:cs="宋体"/>
          <w:color w:val="666666"/>
          <w:sz w:val="18"/>
          <w:lang w:eastAsia="zh-CN"/>
        </w:rPr>
        <w:t>预演毕业论文</w:t>
      </w:r>
      <w:r>
        <w:rPr>
          <w:color w:val="666666"/>
          <w:sz w:val="18"/>
        </w:rPr>
        <w:t>"</w:t>
      </w:r>
      <w:r>
        <w:rPr>
          <w:rFonts w:hint="eastAsia" w:ascii="宋体" w:hAnsi="宋体" w:eastAsia="宋体" w:cs="宋体"/>
          <w:color w:val="666666"/>
          <w:sz w:val="18"/>
          <w:lang w:eastAsia="zh-CN"/>
        </w:rPr>
        <w:t>，文中企业</w:t>
      </w:r>
      <w:r>
        <w:rPr>
          <w:color w:val="666666"/>
          <w:sz w:val="18"/>
        </w:rPr>
        <w:t>—</w:t>
      </w:r>
      <w:r>
        <w:rPr>
          <w:rFonts w:hint="eastAsia" w:ascii="宋体" w:hAnsi="宋体" w:eastAsia="宋体" w:cs="宋体"/>
          <w:color w:val="666666"/>
          <w:sz w:val="18"/>
          <w:lang w:eastAsia="zh-CN"/>
        </w:rPr>
        <w:t>年度面板数据为依据公开文献统计特征构造的演示数据，方法与流程完整、可复现。</w:t>
      </w:r>
    </w:p>
    <w:p w14:paraId="6F65BEA7">
      <w:pPr>
        <w:pStyle w:val="4"/>
      </w:pPr>
      <w:bookmarkStart w:id="1" w:name="sec-1"/>
      <w:bookmarkEnd w:id="1"/>
      <w:bookmarkStart w:id="2" w:name="_Toc_sec_1"/>
      <w:r>
        <w:rPr>
          <w:rFonts w:hint="eastAsia" w:ascii="宋体" w:hAnsi="宋体" w:eastAsia="宋体" w:cs="宋体"/>
          <w:b/>
          <w:sz w:val="28"/>
          <w:lang w:eastAsia="zh-CN"/>
        </w:rPr>
        <w:t>一、绪论</w:t>
      </w:r>
      <w:bookmarkEnd w:id="2"/>
    </w:p>
    <w:p w14:paraId="69D837B0">
      <w:pPr>
        <w:pStyle w:val="5"/>
      </w:pPr>
      <w:bookmarkStart w:id="3" w:name="sec-1-1"/>
      <w:bookmarkEnd w:id="3"/>
      <w:bookmarkStart w:id="4" w:name="_Toc_sec_1_1"/>
      <w:r>
        <w:rPr>
          <w:rFonts w:hint="eastAsia" w:ascii="宋体" w:hAnsi="宋体" w:eastAsia="宋体" w:cs="宋体"/>
          <w:b/>
          <w:sz w:val="24"/>
          <w:lang w:eastAsia="zh-CN"/>
        </w:rPr>
        <w:t>（一）选题背景</w:t>
      </w:r>
      <w:bookmarkEnd w:id="4"/>
    </w:p>
    <w:p w14:paraId="73D3C099">
      <w:pPr>
        <w:ind w:firstLine="480"/>
        <w:jc w:val="both"/>
      </w:pPr>
      <w:r>
        <w:rPr>
          <w:rFonts w:hint="eastAsia" w:ascii="宋体" w:hAnsi="宋体" w:eastAsia="宋体" w:cs="宋体"/>
          <w:lang w:eastAsia="zh-CN"/>
        </w:rPr>
        <w:t>近年来，以大数据、人工智能、云计算为代表的数字技术加速向实体经济渗透，</w:t>
      </w:r>
      <w:r>
        <w:t>"</w:t>
      </w:r>
      <w:r>
        <w:rPr>
          <w:rFonts w:hint="eastAsia" w:ascii="宋体" w:hAnsi="宋体" w:eastAsia="宋体" w:cs="宋体"/>
          <w:lang w:eastAsia="zh-CN"/>
        </w:rPr>
        <w:t>十四五</w:t>
      </w:r>
      <w:r>
        <w:t>"</w:t>
      </w:r>
      <w:r>
        <w:rPr>
          <w:rFonts w:hint="eastAsia" w:ascii="宋体" w:hAnsi="宋体" w:eastAsia="宋体" w:cs="宋体"/>
          <w:lang w:eastAsia="zh-CN"/>
        </w:rPr>
        <w:t>规划明确提出</w:t>
      </w:r>
      <w:r>
        <w:t>"</w:t>
      </w:r>
      <w:r>
        <w:rPr>
          <w:rFonts w:hint="eastAsia" w:ascii="宋体" w:hAnsi="宋体" w:eastAsia="宋体" w:cs="宋体"/>
          <w:lang w:eastAsia="zh-CN"/>
        </w:rPr>
        <w:t>加快数字化发展、建设数字中国</w:t>
      </w:r>
      <w:r>
        <w:t>"</w:t>
      </w:r>
      <w:r>
        <w:rPr>
          <w:rFonts w:hint="eastAsia" w:ascii="宋体" w:hAnsi="宋体" w:eastAsia="宋体" w:cs="宋体"/>
          <w:lang w:eastAsia="zh-CN"/>
        </w:rPr>
        <w:t>的战略部署，党的二十大报告进一步强调</w:t>
      </w:r>
      <w:r>
        <w:t>"</w:t>
      </w:r>
      <w:r>
        <w:rPr>
          <w:rFonts w:hint="eastAsia" w:ascii="宋体" w:hAnsi="宋体" w:eastAsia="宋体" w:cs="宋体"/>
          <w:lang w:eastAsia="zh-CN"/>
        </w:rPr>
        <w:t>促进数字经济和实体经济深度融合</w:t>
      </w:r>
      <w:r>
        <w:t>"</w:t>
      </w:r>
      <w:r>
        <w:rPr>
          <w:rFonts w:hint="eastAsia" w:ascii="宋体" w:hAnsi="宋体" w:eastAsia="宋体" w:cs="宋体"/>
          <w:lang w:eastAsia="zh-CN"/>
        </w:rPr>
        <w:t>。在政策驱动与技术赋能的双重作用下，数字化转型已经从企业的可选项转变为关乎生存与竞争力的必选项。然而与实践中火热的转型浪潮相比，学术研究面临一个更为基础的方法论难题：数字化转型是一个抽象、多维、动态的构念（</w:t>
      </w:r>
      <w:r>
        <w:t>construct</w:t>
      </w:r>
      <w:r>
        <w:rPr>
          <w:rFonts w:hint="eastAsia" w:ascii="宋体" w:hAnsi="宋体" w:eastAsia="宋体" w:cs="宋体"/>
          <w:lang w:eastAsia="zh-CN"/>
        </w:rPr>
        <w:t>），研究者很难像观察企业规模、杠杆率那样，直接从财务报表中获得其量化指标。</w:t>
      </w:r>
    </w:p>
    <w:p w14:paraId="199525C6">
      <w:pPr>
        <w:ind w:firstLine="480"/>
        <w:jc w:val="both"/>
      </w:pPr>
      <w:r>
        <w:rPr>
          <w:rFonts w:hint="eastAsia" w:ascii="宋体" w:hAnsi="宋体" w:eastAsia="宋体" w:cs="宋体"/>
          <w:lang w:eastAsia="zh-CN"/>
        </w:rPr>
        <w:t>目前主流的量化思路之一是利用企业公开披露的年度报告文本，通过文本挖掘技术统计数字化相关词汇的出现频率，进而构造</w:t>
      </w:r>
      <w:r>
        <w:t>"</w:t>
      </w:r>
      <w:r>
        <w:rPr>
          <w:rFonts w:hint="eastAsia" w:ascii="宋体" w:hAnsi="宋体" w:eastAsia="宋体" w:cs="宋体"/>
          <w:lang w:eastAsia="zh-CN"/>
        </w:rPr>
        <w:t>数字化转型指数</w:t>
      </w:r>
      <w:r>
        <w:t>"</w:t>
      </w:r>
      <w:r>
        <w:rPr>
          <w:rFonts w:hint="eastAsia" w:ascii="宋体" w:hAnsi="宋体" w:eastAsia="宋体" w:cs="宋体"/>
          <w:lang w:eastAsia="zh-CN"/>
        </w:rPr>
        <w:t>。这一思路数据获取成本低、样本覆盖面广、时间跨度可回溯，因而在近五年的经济管理研究中被广泛采用。但值得注意的是，大量研究在应用该测度时，往往直接套用既有词典，省略了对测度本身的信度（</w:t>
      </w:r>
      <w:r>
        <w:t>reliability</w:t>
      </w:r>
      <w:r>
        <w:rPr>
          <w:rFonts w:hint="eastAsia" w:ascii="宋体" w:hAnsi="宋体" w:eastAsia="宋体" w:cs="宋体"/>
          <w:lang w:eastAsia="zh-CN"/>
        </w:rPr>
        <w:t>）与效度（</w:t>
      </w:r>
      <w:r>
        <w:t>validity</w:t>
      </w:r>
      <w:r>
        <w:rPr>
          <w:rFonts w:hint="eastAsia" w:ascii="宋体" w:hAnsi="宋体" w:eastAsia="宋体" w:cs="宋体"/>
          <w:lang w:eastAsia="zh-CN"/>
        </w:rPr>
        <w:t>）的系统检验，导致不同研究之间测度口径差异大、结论可比性弱，甚至出现同一数据来源下方向相反的实证结果。测度构建方法的规范性，正在成为制约这一研究方向进一步发展的关键瓶颈。</w:t>
      </w:r>
    </w:p>
    <w:p w14:paraId="31F50581">
      <w:pPr>
        <w:pStyle w:val="5"/>
      </w:pPr>
      <w:bookmarkStart w:id="5" w:name="sec-1-2"/>
      <w:bookmarkEnd w:id="5"/>
      <w:bookmarkStart w:id="6" w:name="_Toc_sec_1_2"/>
      <w:r>
        <w:rPr>
          <w:rFonts w:hint="eastAsia" w:ascii="宋体" w:hAnsi="宋体" w:eastAsia="宋体" w:cs="宋体"/>
          <w:b/>
          <w:sz w:val="24"/>
          <w:lang w:eastAsia="zh-CN"/>
        </w:rPr>
        <w:t>（二）研究意义</w:t>
      </w:r>
      <w:bookmarkEnd w:id="6"/>
    </w:p>
    <w:p w14:paraId="372A8142">
      <w:pPr>
        <w:ind w:firstLine="480"/>
        <w:jc w:val="both"/>
      </w:pPr>
      <w:r>
        <w:rPr>
          <w:rFonts w:hint="eastAsia" w:ascii="宋体" w:hAnsi="宋体" w:eastAsia="宋体" w:cs="宋体"/>
          <w:lang w:eastAsia="zh-CN"/>
        </w:rPr>
        <w:t>本研究的意义体现在方法论与实践两个层面。在方法论层面，本文完整演示了</w:t>
      </w:r>
      <w:r>
        <w:t>"</w:t>
      </w:r>
      <w:r>
        <w:rPr>
          <w:rFonts w:hint="eastAsia" w:ascii="宋体" w:hAnsi="宋体" w:eastAsia="宋体" w:cs="宋体"/>
          <w:lang w:eastAsia="zh-CN"/>
        </w:rPr>
        <w:t>数据获取</w:t>
      </w:r>
      <w:r>
        <w:t>—</w:t>
      </w:r>
      <w:r>
        <w:rPr>
          <w:rFonts w:hint="eastAsia" w:ascii="宋体" w:hAnsi="宋体" w:eastAsia="宋体" w:cs="宋体"/>
          <w:lang w:eastAsia="zh-CN"/>
        </w:rPr>
        <w:t>文本预处理</w:t>
      </w:r>
      <w:r>
        <w:t>—</w:t>
      </w:r>
      <w:r>
        <w:rPr>
          <w:rFonts w:hint="eastAsia" w:ascii="宋体" w:hAnsi="宋体" w:eastAsia="宋体" w:cs="宋体"/>
          <w:lang w:eastAsia="zh-CN"/>
        </w:rPr>
        <w:t>测度构建</w:t>
      </w:r>
      <w:r>
        <w:t>—</w:t>
      </w:r>
      <w:r>
        <w:rPr>
          <w:rFonts w:hint="eastAsia" w:ascii="宋体" w:hAnsi="宋体" w:eastAsia="宋体" w:cs="宋体"/>
          <w:lang w:eastAsia="zh-CN"/>
        </w:rPr>
        <w:t>信效度检验</w:t>
      </w:r>
      <w:r>
        <w:t>—</w:t>
      </w:r>
      <w:r>
        <w:rPr>
          <w:rFonts w:hint="eastAsia" w:ascii="宋体" w:hAnsi="宋体" w:eastAsia="宋体" w:cs="宋体"/>
          <w:lang w:eastAsia="zh-CN"/>
        </w:rPr>
        <w:t>回归分析</w:t>
      </w:r>
      <w:r>
        <w:t>"</w:t>
      </w:r>
      <w:r>
        <w:rPr>
          <w:rFonts w:hint="eastAsia" w:ascii="宋体" w:hAnsi="宋体" w:eastAsia="宋体" w:cs="宋体"/>
          <w:lang w:eastAsia="zh-CN"/>
        </w:rPr>
        <w:t>五步流水线，重点回应</w:t>
      </w:r>
      <w:r>
        <w:t>"</w:t>
      </w:r>
      <w:r>
        <w:rPr>
          <w:rFonts w:hint="eastAsia" w:ascii="宋体" w:hAnsi="宋体" w:eastAsia="宋体" w:cs="宋体"/>
          <w:lang w:eastAsia="zh-CN"/>
        </w:rPr>
        <w:t>文本词频型测度是否可信、是否可复现</w:t>
      </w:r>
      <w:r>
        <w:t>"</w:t>
      </w:r>
      <w:r>
        <w:rPr>
          <w:rFonts w:hint="eastAsia" w:ascii="宋体" w:hAnsi="宋体" w:eastAsia="宋体" w:cs="宋体"/>
          <w:lang w:eastAsia="zh-CN"/>
        </w:rPr>
        <w:t>这一问题：通过种子词典加词嵌入模型扩充的半自动化词典构建流程，降低人工主观性；通过信度与效度检验为测度质量提供统计学证据。这套流程对其他基于文本的构念测度（如企业</w:t>
      </w:r>
      <w:r>
        <w:t>ESG</w:t>
      </w:r>
      <w:r>
        <w:rPr>
          <w:rFonts w:hint="eastAsia" w:ascii="宋体" w:hAnsi="宋体" w:eastAsia="宋体" w:cs="宋体"/>
          <w:lang w:eastAsia="zh-CN"/>
        </w:rPr>
        <w:t>表现、管理层语调、创新文化）同样具有迁移价值。在实践层面，本文量化检验了数字化转型与企业绩效的关系，识别了该效应在不同产权性质与行业属性企业间的差异，可为企业的数字化投资决策、资本市场的估值判断以及监管部门的政策评估提供经验参考。</w:t>
      </w:r>
    </w:p>
    <w:p w14:paraId="67AB94AE">
      <w:pPr>
        <w:pStyle w:val="5"/>
      </w:pPr>
      <w:bookmarkStart w:id="7" w:name="sec-1-3"/>
      <w:bookmarkEnd w:id="7"/>
      <w:bookmarkStart w:id="8" w:name="_Toc_sec_1_3"/>
      <w:r>
        <w:rPr>
          <w:rFonts w:hint="eastAsia" w:ascii="宋体" w:hAnsi="宋体" w:eastAsia="宋体" w:cs="宋体"/>
          <w:b/>
          <w:sz w:val="24"/>
          <w:lang w:eastAsia="zh-CN"/>
        </w:rPr>
        <w:t>（三）文献综述</w:t>
      </w:r>
      <w:bookmarkEnd w:id="8"/>
    </w:p>
    <w:p w14:paraId="033C30D2">
      <w:pPr>
        <w:ind w:firstLine="480"/>
        <w:jc w:val="both"/>
      </w:pPr>
      <w:r>
        <w:rPr>
          <w:rFonts w:hint="eastAsia" w:ascii="宋体" w:hAnsi="宋体" w:eastAsia="宋体" w:cs="宋体"/>
          <w:lang w:eastAsia="zh-CN"/>
        </w:rPr>
        <w:t>围绕本文主题，已有文献可归纳为三条脉络。</w:t>
      </w:r>
    </w:p>
    <w:p w14:paraId="1C7653BB">
      <w:pPr>
        <w:ind w:firstLine="480"/>
        <w:jc w:val="both"/>
      </w:pPr>
      <w:r>
        <w:rPr>
          <w:rFonts w:hint="eastAsia" w:ascii="宋体" w:hAnsi="宋体" w:eastAsia="宋体" w:cs="宋体"/>
          <w:lang w:eastAsia="zh-CN"/>
        </w:rPr>
        <w:t>第一条脉络关注数字化转型的内涵界定与维度划分。</w:t>
      </w:r>
      <w:r>
        <w:t>Vial</w:t>
      </w:r>
      <w:r>
        <w:rPr>
          <w:rFonts w:hint="eastAsia" w:ascii="宋体" w:hAnsi="宋体" w:eastAsia="宋体" w:cs="宋体"/>
          <w:lang w:eastAsia="zh-CN"/>
        </w:rPr>
        <w:t>（</w:t>
      </w:r>
      <w:r>
        <w:t>2019</w:t>
      </w:r>
      <w:r>
        <w:rPr>
          <w:rFonts w:hint="eastAsia" w:ascii="宋体" w:hAnsi="宋体" w:eastAsia="宋体" w:cs="宋体"/>
          <w:lang w:eastAsia="zh-CN"/>
        </w:rPr>
        <w:t>）通过系统文献综述将数字化转型界定为</w:t>
      </w:r>
      <w:r>
        <w:t>"</w:t>
      </w:r>
      <w:r>
        <w:rPr>
          <w:rFonts w:hint="eastAsia" w:ascii="宋体" w:hAnsi="宋体" w:eastAsia="宋体" w:cs="宋体"/>
          <w:lang w:eastAsia="zh-CN"/>
        </w:rPr>
        <w:t>利用信息、计算、沟通与连接技术的组合，触发实体属性的重大变化以改进实体的过程</w:t>
      </w:r>
      <w:r>
        <w:t>"</w:t>
      </w:r>
      <w:r>
        <w:rPr>
          <w:rFonts w:hint="eastAsia" w:ascii="宋体" w:hAnsi="宋体" w:eastAsia="宋体" w:cs="宋体"/>
          <w:lang w:eastAsia="zh-CN"/>
        </w:rPr>
        <w:t>，强调其战略性与过程性。国内学者戚聿东和肖旭（</w:t>
      </w:r>
      <w:r>
        <w:t>2020</w:t>
      </w:r>
      <w:r>
        <w:rPr>
          <w:rFonts w:hint="eastAsia" w:ascii="宋体" w:hAnsi="宋体" w:eastAsia="宋体" w:cs="宋体"/>
          <w:lang w:eastAsia="zh-CN"/>
        </w:rPr>
        <w:t>）从数字经济时代的企业管理变革出发，指出数字化转型涵盖战略、组织、流程与文化等多维重构。这些研究奠定了构念的理论基础，但以概念思辨为主，缺乏可直接操作化的量化方案。</w:t>
      </w:r>
    </w:p>
    <w:p w14:paraId="7619F57A">
      <w:pPr>
        <w:ind w:firstLine="480"/>
        <w:jc w:val="both"/>
      </w:pPr>
      <w:r>
        <w:rPr>
          <w:rFonts w:hint="eastAsia" w:ascii="宋体" w:hAnsi="宋体" w:eastAsia="宋体" w:cs="宋体"/>
          <w:lang w:eastAsia="zh-CN"/>
        </w:rPr>
        <w:t>第二条脉络关注文本测度构建方法。</w:t>
      </w:r>
      <w:r>
        <w:t>Brynjolfsson</w:t>
      </w:r>
      <w:r>
        <w:rPr>
          <w:rFonts w:hint="eastAsia" w:ascii="宋体" w:hAnsi="宋体" w:eastAsia="宋体" w:cs="宋体"/>
          <w:lang w:eastAsia="zh-CN"/>
        </w:rPr>
        <w:t>等（</w:t>
      </w:r>
      <w:r>
        <w:t>2023</w:t>
      </w:r>
      <w:r>
        <w:rPr>
          <w:rFonts w:hint="eastAsia" w:ascii="宋体" w:hAnsi="宋体" w:eastAsia="宋体" w:cs="宋体"/>
          <w:lang w:eastAsia="zh-CN"/>
        </w:rPr>
        <w:t>）利用招聘网站职位描述文本测度企业人工智能渗透度，开创了</w:t>
      </w:r>
      <w:r>
        <w:t>"</w:t>
      </w:r>
      <w:r>
        <w:rPr>
          <w:rFonts w:hint="eastAsia" w:ascii="宋体" w:hAnsi="宋体" w:eastAsia="宋体" w:cs="宋体"/>
          <w:lang w:eastAsia="zh-CN"/>
        </w:rPr>
        <w:t>词频占比型</w:t>
      </w:r>
      <w:r>
        <w:t>"</w:t>
      </w:r>
      <w:r>
        <w:rPr>
          <w:rFonts w:hint="eastAsia" w:ascii="宋体" w:hAnsi="宋体" w:eastAsia="宋体" w:cs="宋体"/>
          <w:lang w:eastAsia="zh-CN"/>
        </w:rPr>
        <w:t>测度的先河。国内具有代表性的是吴非等（</w:t>
      </w:r>
      <w:r>
        <w:t>2021</w:t>
      </w:r>
      <w:r>
        <w:rPr>
          <w:rFonts w:hint="eastAsia" w:ascii="宋体" w:hAnsi="宋体" w:eastAsia="宋体" w:cs="宋体"/>
          <w:lang w:eastAsia="zh-CN"/>
        </w:rPr>
        <w:t>），他们基于上市公司年报的</w:t>
      </w:r>
      <w:r>
        <w:t>MD&amp;A</w:t>
      </w:r>
      <w:r>
        <w:rPr>
          <w:rFonts w:hint="eastAsia" w:ascii="宋体" w:hAnsi="宋体" w:eastAsia="宋体" w:cs="宋体"/>
          <w:lang w:eastAsia="zh-CN"/>
        </w:rPr>
        <w:t>部分，从</w:t>
      </w:r>
      <w:r>
        <w:t>"</w:t>
      </w:r>
      <w:r>
        <w:rPr>
          <w:rFonts w:hint="eastAsia" w:ascii="宋体" w:hAnsi="宋体" w:eastAsia="宋体" w:cs="宋体"/>
          <w:lang w:eastAsia="zh-CN"/>
        </w:rPr>
        <w:t>人工智能技术、区块链技术、云计算技术、大数据技术、数字技术运用</w:t>
      </w:r>
      <w:r>
        <w:t>"</w:t>
      </w:r>
      <w:r>
        <w:rPr>
          <w:rFonts w:hint="eastAsia" w:ascii="宋体" w:hAnsi="宋体" w:eastAsia="宋体" w:cs="宋体"/>
          <w:lang w:eastAsia="zh-CN"/>
        </w:rPr>
        <w:t>五个维度构建数字化关键词词频表，测度企业数字化转型程度，并验证了其与企业无形资产、业绩表现的关联。此后，袁淳等（</w:t>
      </w:r>
      <w:r>
        <w:t>2021</w:t>
      </w:r>
      <w:r>
        <w:rPr>
          <w:rFonts w:hint="eastAsia" w:ascii="宋体" w:hAnsi="宋体" w:eastAsia="宋体" w:cs="宋体"/>
          <w:lang w:eastAsia="zh-CN"/>
        </w:rPr>
        <w:t>）、赵宸宇等（</w:t>
      </w:r>
      <w:r>
        <w:t>2021</w:t>
      </w:r>
      <w:r>
        <w:rPr>
          <w:rFonts w:hint="eastAsia" w:ascii="宋体" w:hAnsi="宋体" w:eastAsia="宋体" w:cs="宋体"/>
          <w:lang w:eastAsia="zh-CN"/>
        </w:rPr>
        <w:t>）在类似框架下展开研究。在方法演进上，部分研究开始引入</w:t>
      </w:r>
      <w:r>
        <w:t>Word2Vec</w:t>
      </w:r>
      <w:r>
        <w:rPr>
          <w:rFonts w:hint="eastAsia" w:ascii="宋体" w:hAnsi="宋体" w:eastAsia="宋体" w:cs="宋体"/>
          <w:lang w:eastAsia="zh-CN"/>
        </w:rPr>
        <w:t>、</w:t>
      </w:r>
      <w:r>
        <w:t>BERT</w:t>
      </w:r>
      <w:r>
        <w:rPr>
          <w:rFonts w:hint="eastAsia" w:ascii="宋体" w:hAnsi="宋体" w:eastAsia="宋体" w:cs="宋体"/>
          <w:lang w:eastAsia="zh-CN"/>
        </w:rPr>
        <w:t>等词嵌入与预训练语言模型扩充词典、修正语义偏差，如</w:t>
      </w:r>
      <w:r>
        <w:t>Hassani</w:t>
      </w:r>
      <w:r>
        <w:rPr>
          <w:rFonts w:hint="eastAsia" w:ascii="宋体" w:hAnsi="宋体" w:eastAsia="宋体" w:cs="宋体"/>
          <w:lang w:eastAsia="zh-CN"/>
        </w:rPr>
        <w:t>等（</w:t>
      </w:r>
      <w:r>
        <w:t>2020</w:t>
      </w:r>
      <w:r>
        <w:rPr>
          <w:rFonts w:hint="eastAsia" w:ascii="宋体" w:hAnsi="宋体" w:eastAsia="宋体" w:cs="宋体"/>
          <w:lang w:eastAsia="zh-CN"/>
        </w:rPr>
        <w:t>）对文本挖掘在数字经济测度中的应用进行了系统梳理。</w:t>
      </w:r>
    </w:p>
    <w:p w14:paraId="268B1DC4">
      <w:pPr>
        <w:ind w:firstLine="480"/>
        <w:jc w:val="both"/>
      </w:pPr>
      <w:r>
        <w:rPr>
          <w:rFonts w:hint="eastAsia" w:ascii="宋体" w:hAnsi="宋体" w:eastAsia="宋体" w:cs="宋体"/>
          <w:lang w:eastAsia="zh-CN"/>
        </w:rPr>
        <w:t>第三条脉络关注数字化转型的经济后果。多数实证研究发现数字化转型能够提升企业绩效（吴非等，</w:t>
      </w:r>
      <w:r>
        <w:t>2021</w:t>
      </w:r>
      <w:r>
        <w:rPr>
          <w:rFonts w:hint="eastAsia" w:ascii="宋体" w:hAnsi="宋体" w:eastAsia="宋体" w:cs="宋体"/>
          <w:lang w:eastAsia="zh-CN"/>
        </w:rPr>
        <w:t>；赵宸宇等，</w:t>
      </w:r>
      <w:r>
        <w:t>2021</w:t>
      </w:r>
      <w:r>
        <w:rPr>
          <w:rFonts w:hint="eastAsia" w:ascii="宋体" w:hAnsi="宋体" w:eastAsia="宋体" w:cs="宋体"/>
          <w:lang w:eastAsia="zh-CN"/>
        </w:rPr>
        <w:t>），其作用机制包括降低信息不对称、优化资源配置效率、推动业务流程再造等；但也有研究指出数字化转型存在</w:t>
      </w:r>
      <w:r>
        <w:t>"</w:t>
      </w:r>
      <w:r>
        <w:rPr>
          <w:rFonts w:hint="eastAsia" w:ascii="宋体" w:hAnsi="宋体" w:eastAsia="宋体" w:cs="宋体"/>
          <w:lang w:eastAsia="zh-CN"/>
        </w:rPr>
        <w:t>高投入、慢产出</w:t>
      </w:r>
      <w:r>
        <w:t>"</w:t>
      </w:r>
      <w:r>
        <w:rPr>
          <w:rFonts w:hint="eastAsia" w:ascii="宋体" w:hAnsi="宋体" w:eastAsia="宋体" w:cs="宋体"/>
          <w:lang w:eastAsia="zh-CN"/>
        </w:rPr>
        <w:t>的滞后效应，短期内甚至可能拖累盈利能力（戚聿东和肖旭，</w:t>
      </w:r>
      <w:r>
        <w:t>2020</w:t>
      </w:r>
      <w:r>
        <w:rPr>
          <w:rFonts w:hint="eastAsia" w:ascii="宋体" w:hAnsi="宋体" w:eastAsia="宋体" w:cs="宋体"/>
          <w:lang w:eastAsia="zh-CN"/>
        </w:rPr>
        <w:t>）。</w:t>
      </w:r>
    </w:p>
    <w:p w14:paraId="4A2B6C7A">
      <w:pPr>
        <w:pStyle w:val="5"/>
      </w:pPr>
      <w:bookmarkStart w:id="9" w:name="sec-1-4"/>
      <w:bookmarkEnd w:id="9"/>
      <w:bookmarkStart w:id="10" w:name="_Toc_sec_1_4"/>
      <w:r>
        <w:rPr>
          <w:rFonts w:hint="eastAsia" w:ascii="宋体" w:hAnsi="宋体" w:eastAsia="宋体" w:cs="宋体"/>
          <w:b/>
          <w:sz w:val="24"/>
          <w:lang w:eastAsia="zh-CN"/>
        </w:rPr>
        <w:t>（四）文献述评与研究Gap</w:t>
      </w:r>
      <w:bookmarkEnd w:id="10"/>
    </w:p>
    <w:p w14:paraId="35B145A5">
      <w:pPr>
        <w:ind w:firstLine="480"/>
        <w:jc w:val="both"/>
      </w:pPr>
      <w:r>
        <w:rPr>
          <w:rFonts w:hint="eastAsia" w:ascii="宋体" w:hAnsi="宋体" w:eastAsia="宋体" w:cs="宋体"/>
          <w:lang w:eastAsia="zh-CN"/>
        </w:rPr>
        <w:t>综合来看，已有研究在构念界定与经济后果检验上积累了丰富成果，但仍存在两处明显的空白（</w:t>
      </w:r>
      <w:r>
        <w:t>Gap</w:t>
      </w:r>
      <w:r>
        <w:rPr>
          <w:rFonts w:hint="eastAsia" w:ascii="宋体" w:hAnsi="宋体" w:eastAsia="宋体" w:cs="宋体"/>
          <w:lang w:eastAsia="zh-CN"/>
        </w:rPr>
        <w:t>）。</w:t>
      </w:r>
      <w:r>
        <w:rPr>
          <w:rFonts w:hint="eastAsia" w:ascii="宋体" w:hAnsi="宋体" w:eastAsia="宋体" w:cs="宋体"/>
          <w:b/>
          <w:lang w:eastAsia="zh-CN"/>
        </w:rPr>
        <w:t>Gap一：测度构建过程不透明、检验不规范。</w:t>
      </w:r>
      <w:r>
        <w:rPr>
          <w:rFonts w:hint="eastAsia" w:ascii="宋体" w:hAnsi="宋体" w:eastAsia="宋体" w:cs="宋体"/>
          <w:lang w:eastAsia="zh-CN"/>
        </w:rPr>
        <w:t>多数研究仅报告最终指数，未披露词典构建细节与文本处理参数，且普遍缺乏对测度信度（如</w:t>
      </w:r>
      <w:r>
        <w:t>Cronbach's α</w:t>
      </w:r>
      <w:r>
        <w:rPr>
          <w:rFonts w:hint="eastAsia" w:ascii="宋体" w:hAnsi="宋体" w:eastAsia="宋体" w:cs="宋体"/>
          <w:lang w:eastAsia="zh-CN"/>
        </w:rPr>
        <w:t>、分半信度）与效度（如收敛效度、判别效度）的统计学检验，可复现性差。</w:t>
      </w:r>
      <w:r>
        <w:rPr>
          <w:rFonts w:hint="eastAsia" w:ascii="宋体" w:hAnsi="宋体" w:eastAsia="宋体" w:cs="宋体"/>
          <w:b/>
          <w:lang w:eastAsia="zh-CN"/>
        </w:rPr>
        <w:t>Gap二：样本时效滞后。</w:t>
      </w:r>
      <w:r>
        <w:rPr>
          <w:rFonts w:hint="eastAsia" w:ascii="宋体" w:hAnsi="宋体" w:eastAsia="宋体" w:cs="宋体"/>
          <w:lang w:eastAsia="zh-CN"/>
        </w:rPr>
        <w:t>现有主流文献的样本期多止于</w:t>
      </w:r>
      <w:r>
        <w:t>2020</w:t>
      </w:r>
      <w:r>
        <w:rPr>
          <w:rFonts w:hint="eastAsia" w:ascii="宋体" w:hAnsi="宋体" w:eastAsia="宋体" w:cs="宋体"/>
          <w:lang w:eastAsia="zh-CN"/>
        </w:rPr>
        <w:t>年以前，难以刻画</w:t>
      </w:r>
      <w:r>
        <w:t>2020</w:t>
      </w:r>
      <w:r>
        <w:rPr>
          <w:rFonts w:hint="eastAsia" w:ascii="宋体" w:hAnsi="宋体" w:eastAsia="宋体" w:cs="宋体"/>
          <w:lang w:eastAsia="zh-CN"/>
        </w:rPr>
        <w:t>年之后数字经济加速发展阶段的转型态势。本文的边际贡献在于：以规范化、可复现的五步流水线完整构建数字化转型测度并报告全套信效度证据，同时将样本更新至</w:t>
      </w:r>
      <w:r>
        <w:t>2023</w:t>
      </w:r>
      <w:r>
        <w:rPr>
          <w:rFonts w:hint="eastAsia" w:ascii="宋体" w:hAnsi="宋体" w:eastAsia="宋体" w:cs="宋体"/>
          <w:lang w:eastAsia="zh-CN"/>
        </w:rPr>
        <w:t>年，在方法示范与经验证据两个方向上填补上述空白。</w:t>
      </w:r>
    </w:p>
    <w:p w14:paraId="3AF7559A">
      <w:pPr>
        <w:pStyle w:val="5"/>
      </w:pPr>
      <w:bookmarkStart w:id="11" w:name="sec-1-5"/>
      <w:bookmarkEnd w:id="11"/>
      <w:bookmarkStart w:id="12" w:name="_Toc_sec_1_5"/>
      <w:r>
        <w:rPr>
          <w:rFonts w:hint="eastAsia" w:ascii="宋体" w:hAnsi="宋体" w:eastAsia="宋体" w:cs="宋体"/>
          <w:b/>
          <w:sz w:val="24"/>
          <w:lang w:eastAsia="zh-CN"/>
        </w:rPr>
        <w:t>（五）研究内容与技术路线</w:t>
      </w:r>
      <w:bookmarkEnd w:id="12"/>
    </w:p>
    <w:p w14:paraId="48ADB1D0">
      <w:pPr>
        <w:ind w:firstLine="480"/>
        <w:jc w:val="both"/>
      </w:pPr>
      <w:r>
        <w:rPr>
          <w:rFonts w:hint="eastAsia" w:ascii="宋体" w:hAnsi="宋体" w:eastAsia="宋体" w:cs="宋体"/>
          <w:lang w:eastAsia="zh-CN"/>
        </w:rPr>
        <w:t>本文的研究内容依次为：（</w:t>
      </w:r>
      <w:r>
        <w:t>1</w:t>
      </w:r>
      <w:r>
        <w:rPr>
          <w:rFonts w:hint="eastAsia" w:ascii="宋体" w:hAnsi="宋体" w:eastAsia="宋体" w:cs="宋体"/>
          <w:lang w:eastAsia="zh-CN"/>
        </w:rPr>
        <w:t>）基于年报文本构建企业数字化转型词典与指数</w:t>
      </w:r>
      <w:r>
        <w:t>DTI</w:t>
      </w:r>
      <w:r>
        <w:rPr>
          <w:rFonts w:hint="eastAsia" w:ascii="宋体" w:hAnsi="宋体" w:eastAsia="宋体" w:cs="宋体"/>
          <w:lang w:eastAsia="zh-CN"/>
        </w:rPr>
        <w:t>，并完成信效度检验；（</w:t>
      </w:r>
      <w:r>
        <w:t>2</w:t>
      </w:r>
      <w:r>
        <w:rPr>
          <w:rFonts w:hint="eastAsia" w:ascii="宋体" w:hAnsi="宋体" w:eastAsia="宋体" w:cs="宋体"/>
          <w:lang w:eastAsia="zh-CN"/>
        </w:rPr>
        <w:t>）构建企业</w:t>
      </w:r>
      <w:r>
        <w:t>—</w:t>
      </w:r>
      <w:r>
        <w:rPr>
          <w:rFonts w:hint="eastAsia" w:ascii="宋体" w:hAnsi="宋体" w:eastAsia="宋体" w:cs="宋体"/>
          <w:lang w:eastAsia="zh-CN"/>
        </w:rPr>
        <w:t>年度面板数据集，考察</w:t>
      </w:r>
      <w:r>
        <w:t>DTI</w:t>
      </w:r>
      <w:r>
        <w:rPr>
          <w:rFonts w:hint="eastAsia" w:ascii="宋体" w:hAnsi="宋体" w:eastAsia="宋体" w:cs="宋体"/>
          <w:lang w:eastAsia="zh-CN"/>
        </w:rPr>
        <w:t>对企业绩效</w:t>
      </w:r>
      <w:r>
        <w:t>ROA</w:t>
      </w:r>
      <w:r>
        <w:rPr>
          <w:rFonts w:hint="eastAsia" w:ascii="宋体" w:hAnsi="宋体" w:eastAsia="宋体" w:cs="宋体"/>
          <w:lang w:eastAsia="zh-CN"/>
        </w:rPr>
        <w:t>的影响；（</w:t>
      </w:r>
      <w:r>
        <w:t>3</w:t>
      </w:r>
      <w:r>
        <w:rPr>
          <w:rFonts w:hint="eastAsia" w:ascii="宋体" w:hAnsi="宋体" w:eastAsia="宋体" w:cs="宋体"/>
          <w:lang w:eastAsia="zh-CN"/>
        </w:rPr>
        <w:t>）按产权性质与行业属性开展异质性分析，并辅以稳健性检验。技术路线与五步流水线的对应关系为：第一步，从巨潮资讯网爬取年报全文（数据获取）；第二步，完成文本清洗、分词与去停用词（文本预处理）；第三步，采用</w:t>
      </w:r>
      <w:r>
        <w:t>"</w:t>
      </w:r>
      <w:r>
        <w:rPr>
          <w:rFonts w:hint="eastAsia" w:ascii="宋体" w:hAnsi="宋体" w:eastAsia="宋体" w:cs="宋体"/>
          <w:lang w:eastAsia="zh-CN"/>
        </w:rPr>
        <w:t>种子词典</w:t>
      </w:r>
      <w:r>
        <w:t>+Word2Vec</w:t>
      </w:r>
      <w:r>
        <w:rPr>
          <w:rFonts w:hint="eastAsia" w:ascii="宋体" w:hAnsi="宋体" w:eastAsia="宋体" w:cs="宋体"/>
          <w:lang w:eastAsia="zh-CN"/>
        </w:rPr>
        <w:t>扩充</w:t>
      </w:r>
      <w:r>
        <w:t>"</w:t>
      </w:r>
      <w:r>
        <w:rPr>
          <w:rFonts w:hint="eastAsia" w:ascii="宋体" w:hAnsi="宋体" w:eastAsia="宋体" w:cs="宋体"/>
          <w:lang w:eastAsia="zh-CN"/>
        </w:rPr>
        <w:t>构建</w:t>
      </w:r>
      <w:r>
        <w:t>DTI</w:t>
      </w:r>
      <w:r>
        <w:rPr>
          <w:rFonts w:hint="eastAsia" w:ascii="宋体" w:hAnsi="宋体" w:eastAsia="宋体" w:cs="宋体"/>
          <w:lang w:eastAsia="zh-CN"/>
        </w:rPr>
        <w:t>（测度构建）；第四步，进行</w:t>
      </w:r>
      <w:r>
        <w:t>Cronbach's α</w:t>
      </w:r>
      <w:r>
        <w:rPr>
          <w:rFonts w:hint="eastAsia" w:ascii="宋体" w:hAnsi="宋体" w:eastAsia="宋体" w:cs="宋体"/>
          <w:lang w:eastAsia="zh-CN"/>
        </w:rPr>
        <w:t>、分半信度与收敛效度检验（信效度检验）；第五步，建立面板回归模型开展实证分析（回归分析）。</w:t>
      </w:r>
    </w:p>
    <w:p w14:paraId="42F42190">
      <w:pPr>
        <w:pStyle w:val="4"/>
      </w:pPr>
      <w:bookmarkStart w:id="13" w:name="sec-2"/>
      <w:bookmarkEnd w:id="13"/>
      <w:bookmarkStart w:id="14" w:name="_Toc_sec_2"/>
      <w:r>
        <w:rPr>
          <w:rFonts w:hint="eastAsia" w:ascii="宋体" w:hAnsi="宋体" w:eastAsia="宋体" w:cs="宋体"/>
          <w:b/>
          <w:sz w:val="28"/>
          <w:lang w:eastAsia="zh-CN"/>
        </w:rPr>
        <w:t>二、研究设计与方法</w:t>
      </w:r>
      <w:bookmarkEnd w:id="14"/>
    </w:p>
    <w:p w14:paraId="30DFF28F">
      <w:pPr>
        <w:pStyle w:val="5"/>
      </w:pPr>
      <w:bookmarkStart w:id="15" w:name="sec-2-1"/>
      <w:bookmarkEnd w:id="15"/>
      <w:bookmarkStart w:id="16" w:name="_Toc_sec_2_1"/>
      <w:r>
        <w:rPr>
          <w:rFonts w:hint="eastAsia" w:ascii="宋体" w:hAnsi="宋体" w:eastAsia="宋体" w:cs="宋体"/>
          <w:b/>
          <w:sz w:val="24"/>
          <w:lang w:eastAsia="zh-CN"/>
        </w:rPr>
        <w:t>（一）研究框架</w:t>
      </w:r>
      <w:bookmarkEnd w:id="16"/>
    </w:p>
    <w:p w14:paraId="58624F8A">
      <w:pPr>
        <w:ind w:firstLine="480"/>
        <w:jc w:val="both"/>
      </w:pPr>
      <w:r>
        <w:rPr>
          <w:rFonts w:hint="eastAsia" w:ascii="宋体" w:hAnsi="宋体" w:eastAsia="宋体" w:cs="宋体"/>
          <w:lang w:eastAsia="zh-CN"/>
        </w:rPr>
        <w:t>本文按照课程所授</w:t>
      </w:r>
      <w:r>
        <w:t>NLP</w:t>
      </w:r>
      <w:r>
        <w:rPr>
          <w:rFonts w:hint="eastAsia" w:ascii="宋体" w:hAnsi="宋体" w:eastAsia="宋体" w:cs="宋体"/>
          <w:lang w:eastAsia="zh-CN"/>
        </w:rPr>
        <w:t>测度构建方法组织研究流程，整体框架为五步流水线：数据获取</w:t>
      </w:r>
      <w:r>
        <w:t>→</w:t>
      </w:r>
      <w:r>
        <w:rPr>
          <w:rFonts w:hint="eastAsia" w:ascii="宋体" w:hAnsi="宋体" w:eastAsia="宋体" w:cs="宋体"/>
          <w:lang w:eastAsia="zh-CN"/>
        </w:rPr>
        <w:t>文本预处理</w:t>
      </w:r>
      <w:r>
        <w:t>→</w:t>
      </w:r>
      <w:r>
        <w:rPr>
          <w:rFonts w:hint="eastAsia" w:ascii="宋体" w:hAnsi="宋体" w:eastAsia="宋体" w:cs="宋体"/>
          <w:lang w:eastAsia="zh-CN"/>
        </w:rPr>
        <w:t>测度构建</w:t>
      </w:r>
      <w:r>
        <w:t>→</w:t>
      </w:r>
      <w:r>
        <w:rPr>
          <w:rFonts w:hint="eastAsia" w:ascii="宋体" w:hAnsi="宋体" w:eastAsia="宋体" w:cs="宋体"/>
          <w:lang w:eastAsia="zh-CN"/>
        </w:rPr>
        <w:t>信效度检验</w:t>
      </w:r>
      <w:r>
        <w:t>→</w:t>
      </w:r>
      <w:r>
        <w:rPr>
          <w:rFonts w:hint="eastAsia" w:ascii="宋体" w:hAnsi="宋体" w:eastAsia="宋体" w:cs="宋体"/>
          <w:lang w:eastAsia="zh-CN"/>
        </w:rPr>
        <w:t>回归分析。每一环节的输出均为下一环节的输入：原始年报文本经预处理后形成企业</w:t>
      </w:r>
      <w:r>
        <w:t>—</w:t>
      </w:r>
      <w:r>
        <w:rPr>
          <w:rFonts w:hint="eastAsia" w:ascii="宋体" w:hAnsi="宋体" w:eastAsia="宋体" w:cs="宋体"/>
          <w:lang w:eastAsia="zh-CN"/>
        </w:rPr>
        <w:t>年度语料库；语料库经词典匹配与词频统计形成测度；测度经信效度检验确认质量合格后，方可作为核心变量进入回归模型。这一流程设计保证了</w:t>
      </w:r>
      <w:r>
        <w:t>"</w:t>
      </w:r>
      <w:r>
        <w:rPr>
          <w:rFonts w:hint="eastAsia" w:ascii="宋体" w:hAnsi="宋体" w:eastAsia="宋体" w:cs="宋体"/>
          <w:lang w:eastAsia="zh-CN"/>
        </w:rPr>
        <w:t>测度先验证、后使用</w:t>
      </w:r>
      <w:r>
        <w:t>"</w:t>
      </w:r>
      <w:r>
        <w:rPr>
          <w:rFonts w:hint="eastAsia" w:ascii="宋体" w:hAnsi="宋体" w:eastAsia="宋体" w:cs="宋体"/>
          <w:lang w:eastAsia="zh-CN"/>
        </w:rPr>
        <w:t>，避免未经检验的指标直接进入因果推断环节。</w:t>
      </w:r>
    </w:p>
    <w:p w14:paraId="0EDCCA77">
      <w:pPr>
        <w:pStyle w:val="5"/>
      </w:pPr>
      <w:bookmarkStart w:id="17" w:name="sec-2-2"/>
      <w:bookmarkEnd w:id="17"/>
      <w:bookmarkStart w:id="18" w:name="_Toc_sec_2_2"/>
      <w:r>
        <w:rPr>
          <w:rFonts w:hint="eastAsia" w:ascii="宋体" w:hAnsi="宋体" w:eastAsia="宋体" w:cs="宋体"/>
          <w:b/>
          <w:sz w:val="24"/>
          <w:lang w:eastAsia="zh-CN"/>
        </w:rPr>
        <w:t>（二）数据来源与样本选择</w:t>
      </w:r>
      <w:bookmarkEnd w:id="18"/>
    </w:p>
    <w:p w14:paraId="365E5EFD">
      <w:pPr>
        <w:ind w:firstLine="480"/>
        <w:jc w:val="both"/>
      </w:pPr>
      <w:r>
        <w:rPr>
          <w:rFonts w:hint="eastAsia" w:ascii="宋体" w:hAnsi="宋体" w:eastAsia="宋体" w:cs="宋体"/>
          <w:lang w:eastAsia="zh-CN"/>
        </w:rPr>
        <w:t>年报文本数据来源于巨潮资讯网（</w:t>
      </w:r>
      <w:r>
        <w:t>cninfo.com.cn</w:t>
      </w:r>
      <w:r>
        <w:rPr>
          <w:rFonts w:hint="eastAsia" w:ascii="宋体" w:hAnsi="宋体" w:eastAsia="宋体" w:cs="宋体"/>
          <w:lang w:eastAsia="zh-CN"/>
        </w:rPr>
        <w:t>）公开披露的年度报告全文，采用</w:t>
      </w:r>
      <w:r>
        <w:t>Python</w:t>
      </w:r>
      <w:r>
        <w:rPr>
          <w:rFonts w:hint="eastAsia" w:ascii="宋体" w:hAnsi="宋体" w:eastAsia="宋体" w:cs="宋体"/>
          <w:lang w:eastAsia="zh-CN"/>
        </w:rPr>
        <w:t>的</w:t>
      </w:r>
      <w:r>
        <w:t>requests</w:t>
      </w:r>
      <w:r>
        <w:rPr>
          <w:rFonts w:hint="eastAsia" w:ascii="宋体" w:hAnsi="宋体" w:eastAsia="宋体" w:cs="宋体"/>
          <w:lang w:eastAsia="zh-CN"/>
        </w:rPr>
        <w:t>库与</w:t>
      </w:r>
      <w:r>
        <w:t>BeautifulSoup</w:t>
      </w:r>
      <w:r>
        <w:rPr>
          <w:rFonts w:hint="eastAsia" w:ascii="宋体" w:hAnsi="宋体" w:eastAsia="宋体" w:cs="宋体"/>
          <w:lang w:eastAsia="zh-CN"/>
        </w:rPr>
        <w:t>库编写爬虫获取</w:t>
      </w:r>
      <w:r>
        <w:t>PDF</w:t>
      </w:r>
      <w:r>
        <w:rPr>
          <w:rFonts w:hint="eastAsia" w:ascii="宋体" w:hAnsi="宋体" w:eastAsia="宋体" w:cs="宋体"/>
          <w:lang w:eastAsia="zh-CN"/>
        </w:rPr>
        <w:t>并经</w:t>
      </w:r>
      <w:r>
        <w:t>pdfplumber</w:t>
      </w:r>
      <w:r>
        <w:rPr>
          <w:rFonts w:hint="eastAsia" w:ascii="宋体" w:hAnsi="宋体" w:eastAsia="宋体" w:cs="宋体"/>
          <w:lang w:eastAsia="zh-CN"/>
        </w:rPr>
        <w:t>解析为纯文本。财务数据与公司特征数据来自国泰安</w:t>
      </w:r>
      <w:r>
        <w:t>CSMAR</w:t>
      </w:r>
      <w:r>
        <w:rPr>
          <w:rFonts w:hint="eastAsia" w:ascii="宋体" w:hAnsi="宋体" w:eastAsia="宋体" w:cs="宋体"/>
          <w:lang w:eastAsia="zh-CN"/>
        </w:rPr>
        <w:t>数据库。样本筛选规则如下：（</w:t>
      </w:r>
      <w:r>
        <w:t>1</w:t>
      </w:r>
      <w:r>
        <w:rPr>
          <w:rFonts w:hint="eastAsia" w:ascii="宋体" w:hAnsi="宋体" w:eastAsia="宋体" w:cs="宋体"/>
          <w:lang w:eastAsia="zh-CN"/>
        </w:rPr>
        <w:t>）选取</w:t>
      </w:r>
      <w:r>
        <w:t>2019—2023</w:t>
      </w:r>
      <w:r>
        <w:rPr>
          <w:rFonts w:hint="eastAsia" w:ascii="宋体" w:hAnsi="宋体" w:eastAsia="宋体" w:cs="宋体"/>
          <w:lang w:eastAsia="zh-CN"/>
        </w:rPr>
        <w:t>年沪深</w:t>
      </w:r>
      <w:r>
        <w:t>A</w:t>
      </w:r>
      <w:r>
        <w:rPr>
          <w:rFonts w:hint="eastAsia" w:ascii="宋体" w:hAnsi="宋体" w:eastAsia="宋体" w:cs="宋体"/>
          <w:lang w:eastAsia="zh-CN"/>
        </w:rPr>
        <w:t>股上市公司；（</w:t>
      </w:r>
      <w:r>
        <w:t>2</w:t>
      </w:r>
      <w:r>
        <w:rPr>
          <w:rFonts w:hint="eastAsia" w:ascii="宋体" w:hAnsi="宋体" w:eastAsia="宋体" w:cs="宋体"/>
          <w:lang w:eastAsia="zh-CN"/>
        </w:rPr>
        <w:t>）剔除金融、保险类公司；（</w:t>
      </w:r>
      <w:r>
        <w:t>3</w:t>
      </w:r>
      <w:r>
        <w:rPr>
          <w:rFonts w:hint="eastAsia" w:ascii="宋体" w:hAnsi="宋体" w:eastAsia="宋体" w:cs="宋体"/>
          <w:lang w:eastAsia="zh-CN"/>
        </w:rPr>
        <w:t>）剔除</w:t>
      </w:r>
      <w:r>
        <w:t>ST</w:t>
      </w:r>
      <w:r>
        <w:rPr>
          <w:rFonts w:hint="eastAsia" w:ascii="宋体" w:hAnsi="宋体" w:eastAsia="宋体" w:cs="宋体"/>
          <w:lang w:eastAsia="zh-CN"/>
        </w:rPr>
        <w:t>、</w:t>
      </w:r>
      <w:r>
        <w:t>*ST</w:t>
      </w:r>
      <w:r>
        <w:rPr>
          <w:rFonts w:hint="eastAsia" w:ascii="宋体" w:hAnsi="宋体" w:eastAsia="宋体" w:cs="宋体"/>
          <w:lang w:eastAsia="zh-CN"/>
        </w:rPr>
        <w:t>及退市公司；（</w:t>
      </w:r>
      <w:r>
        <w:t>4</w:t>
      </w:r>
      <w:r>
        <w:rPr>
          <w:rFonts w:hint="eastAsia" w:ascii="宋体" w:hAnsi="宋体" w:eastAsia="宋体" w:cs="宋体"/>
          <w:lang w:eastAsia="zh-CN"/>
        </w:rPr>
        <w:t>）剔除年报文本缺失、财务数据严重缺失的观测；（</w:t>
      </w:r>
      <w:r>
        <w:t>5</w:t>
      </w:r>
      <w:r>
        <w:rPr>
          <w:rFonts w:hint="eastAsia" w:ascii="宋体" w:hAnsi="宋体" w:eastAsia="宋体" w:cs="宋体"/>
          <w:lang w:eastAsia="zh-CN"/>
        </w:rPr>
        <w:t>）为控制极端值影响，对连续变量在</w:t>
      </w:r>
      <w:r>
        <w:t>1%</w:t>
      </w:r>
      <w:r>
        <w:rPr>
          <w:rFonts w:hint="eastAsia" w:ascii="宋体" w:hAnsi="宋体" w:eastAsia="宋体" w:cs="宋体"/>
          <w:lang w:eastAsia="zh-CN"/>
        </w:rPr>
        <w:t>和</w:t>
      </w:r>
      <w:r>
        <w:t>99%</w:t>
      </w:r>
      <w:r>
        <w:rPr>
          <w:rFonts w:hint="eastAsia" w:ascii="宋体" w:hAnsi="宋体" w:eastAsia="宋体" w:cs="宋体"/>
          <w:lang w:eastAsia="zh-CN"/>
        </w:rPr>
        <w:t>分位进行缩尾（</w:t>
      </w:r>
      <w:r>
        <w:t>Winsorize</w:t>
      </w:r>
      <w:r>
        <w:rPr>
          <w:rFonts w:hint="eastAsia" w:ascii="宋体" w:hAnsi="宋体" w:eastAsia="宋体" w:cs="宋体"/>
          <w:lang w:eastAsia="zh-CN"/>
        </w:rPr>
        <w:t>）处理。最终样本为</w:t>
      </w:r>
      <w:r>
        <w:t>428</w:t>
      </w:r>
      <w:r>
        <w:rPr>
          <w:rFonts w:hint="eastAsia" w:ascii="宋体" w:hAnsi="宋体" w:eastAsia="宋体" w:cs="宋体"/>
          <w:lang w:eastAsia="zh-CN"/>
        </w:rPr>
        <w:t>家公司、</w:t>
      </w:r>
      <w:r>
        <w:t>2019—2023</w:t>
      </w:r>
      <w:r>
        <w:rPr>
          <w:rFonts w:hint="eastAsia" w:ascii="宋体" w:hAnsi="宋体" w:eastAsia="宋体" w:cs="宋体"/>
          <w:lang w:eastAsia="zh-CN"/>
        </w:rPr>
        <w:t>年共</w:t>
      </w:r>
      <w:r>
        <w:t>5</w:t>
      </w:r>
      <w:r>
        <w:rPr>
          <w:rFonts w:hint="eastAsia" w:ascii="宋体" w:hAnsi="宋体" w:eastAsia="宋体" w:cs="宋体"/>
          <w:lang w:eastAsia="zh-CN"/>
        </w:rPr>
        <w:t>个年度，形成</w:t>
      </w:r>
      <w:r>
        <w:t>2140</w:t>
      </w:r>
      <w:r>
        <w:rPr>
          <w:rFonts w:hint="eastAsia" w:ascii="宋体" w:hAnsi="宋体" w:eastAsia="宋体" w:cs="宋体"/>
          <w:lang w:eastAsia="zh-CN"/>
        </w:rPr>
        <w:t>个企业</w:t>
      </w:r>
      <w:r>
        <w:t>—</w:t>
      </w:r>
      <w:r>
        <w:rPr>
          <w:rFonts w:hint="eastAsia" w:ascii="宋体" w:hAnsi="宋体" w:eastAsia="宋体" w:cs="宋体"/>
          <w:lang w:eastAsia="zh-CN"/>
        </w:rPr>
        <w:t>年度观测值的非平衡面板数据。所有文本处理与统计分析基于</w:t>
      </w:r>
      <w:r>
        <w:t>Python 3.11</w:t>
      </w:r>
      <w:r>
        <w:rPr>
          <w:rFonts w:hint="eastAsia" w:ascii="宋体" w:hAnsi="宋体" w:eastAsia="宋体" w:cs="宋体"/>
          <w:lang w:eastAsia="zh-CN"/>
        </w:rPr>
        <w:t>（</w:t>
      </w:r>
      <w:r>
        <w:t>jieba 0.42</w:t>
      </w:r>
      <w:r>
        <w:rPr>
          <w:rFonts w:hint="eastAsia" w:ascii="宋体" w:hAnsi="宋体" w:eastAsia="宋体" w:cs="宋体"/>
          <w:lang w:eastAsia="zh-CN"/>
        </w:rPr>
        <w:t>、</w:t>
      </w:r>
      <w:r>
        <w:t>gensim 4.3</w:t>
      </w:r>
      <w:r>
        <w:rPr>
          <w:rFonts w:hint="eastAsia" w:ascii="宋体" w:hAnsi="宋体" w:eastAsia="宋体" w:cs="宋体"/>
          <w:lang w:eastAsia="zh-CN"/>
        </w:rPr>
        <w:t>、</w:t>
      </w:r>
      <w:r>
        <w:t>pandas 2.1</w:t>
      </w:r>
      <w:r>
        <w:rPr>
          <w:rFonts w:hint="eastAsia" w:ascii="宋体" w:hAnsi="宋体" w:eastAsia="宋体" w:cs="宋体"/>
          <w:lang w:eastAsia="zh-CN"/>
        </w:rPr>
        <w:t>、</w:t>
      </w:r>
      <w:r>
        <w:t>statsmodels 0.14</w:t>
      </w:r>
      <w:r>
        <w:rPr>
          <w:rFonts w:hint="eastAsia" w:ascii="宋体" w:hAnsi="宋体" w:eastAsia="宋体" w:cs="宋体"/>
          <w:lang w:eastAsia="zh-CN"/>
        </w:rPr>
        <w:t>）实现，处理脚本与中间结果均已存档以保证可复现性。</w:t>
      </w:r>
    </w:p>
    <w:p w14:paraId="7350DC76">
      <w:pPr>
        <w:pStyle w:val="5"/>
      </w:pPr>
      <w:bookmarkStart w:id="19" w:name="sec-2-3"/>
      <w:bookmarkEnd w:id="19"/>
      <w:bookmarkStart w:id="20" w:name="_Toc_sec_2_3"/>
      <w:r>
        <w:rPr>
          <w:rFonts w:hint="eastAsia" w:ascii="宋体" w:hAnsi="宋体" w:eastAsia="宋体" w:cs="宋体"/>
          <w:b/>
          <w:sz w:val="24"/>
          <w:lang w:eastAsia="zh-CN"/>
        </w:rPr>
        <w:t>（三）文本预处理</w:t>
      </w:r>
      <w:bookmarkEnd w:id="20"/>
    </w:p>
    <w:p w14:paraId="1E5BE965">
      <w:pPr>
        <w:ind w:firstLine="480"/>
        <w:jc w:val="both"/>
      </w:pPr>
      <w:r>
        <w:rPr>
          <w:rFonts w:hint="eastAsia" w:ascii="宋体" w:hAnsi="宋体" w:eastAsia="宋体" w:cs="宋体"/>
          <w:lang w:eastAsia="zh-CN"/>
        </w:rPr>
        <w:t>文本预处理包含四个步骤。第一步，文档解析与定位：考虑到年报中</w:t>
      </w:r>
      <w:r>
        <w:t>MD&amp;A</w:t>
      </w:r>
      <w:r>
        <w:rPr>
          <w:rFonts w:hint="eastAsia" w:ascii="宋体" w:hAnsi="宋体" w:eastAsia="宋体" w:cs="宋体"/>
          <w:lang w:eastAsia="zh-CN"/>
        </w:rPr>
        <w:t>（管理层讨论与分析）部分是管理层讨论战略与经营最集中的章节，参照吴非等（</w:t>
      </w:r>
      <w:r>
        <w:t>2021</w:t>
      </w:r>
      <w:r>
        <w:rPr>
          <w:rFonts w:hint="eastAsia" w:ascii="宋体" w:hAnsi="宋体" w:eastAsia="宋体" w:cs="宋体"/>
          <w:lang w:eastAsia="zh-CN"/>
        </w:rPr>
        <w:t>）的做法，以</w:t>
      </w:r>
      <w:r>
        <w:t>MD&amp;A</w:t>
      </w:r>
      <w:r>
        <w:rPr>
          <w:rFonts w:hint="eastAsia" w:ascii="宋体" w:hAnsi="宋体" w:eastAsia="宋体" w:cs="宋体"/>
          <w:lang w:eastAsia="zh-CN"/>
        </w:rPr>
        <w:t>部分作为主要分析文本，同时保留</w:t>
      </w:r>
      <w:r>
        <w:t>"</w:t>
      </w:r>
      <w:r>
        <w:rPr>
          <w:rFonts w:hint="eastAsia" w:ascii="宋体" w:hAnsi="宋体" w:eastAsia="宋体" w:cs="宋体"/>
          <w:lang w:eastAsia="zh-CN"/>
        </w:rPr>
        <w:t>经营情况讨论与分析</w:t>
      </w:r>
      <w:r>
        <w:t>""</w:t>
      </w:r>
      <w:r>
        <w:rPr>
          <w:rFonts w:hint="eastAsia" w:ascii="宋体" w:hAnsi="宋体" w:eastAsia="宋体" w:cs="宋体"/>
          <w:lang w:eastAsia="zh-CN"/>
        </w:rPr>
        <w:t>未来发展展望</w:t>
      </w:r>
      <w:r>
        <w:t>"</w:t>
      </w:r>
      <w:r>
        <w:rPr>
          <w:rFonts w:hint="eastAsia" w:ascii="宋体" w:hAnsi="宋体" w:eastAsia="宋体" w:cs="宋体"/>
          <w:lang w:eastAsia="zh-CN"/>
        </w:rPr>
        <w:t>等章节内容。第二步，清洗：利用正则表达式去除</w:t>
      </w:r>
      <w:r>
        <w:t>HTML</w:t>
      </w:r>
      <w:r>
        <w:rPr>
          <w:rFonts w:hint="eastAsia" w:ascii="宋体" w:hAnsi="宋体" w:eastAsia="宋体" w:cs="宋体"/>
          <w:lang w:eastAsia="zh-CN"/>
        </w:rPr>
        <w:t>残留标签、页眉页脚、目录、表格线与无关数字串，统一全角半角字符，并将繁体字转换为简体字。第三步，分词：采用</w:t>
      </w:r>
      <w:r>
        <w:t>jieba</w:t>
      </w:r>
      <w:r>
        <w:rPr>
          <w:rFonts w:hint="eastAsia" w:ascii="宋体" w:hAnsi="宋体" w:eastAsia="宋体" w:cs="宋体"/>
          <w:lang w:eastAsia="zh-CN"/>
        </w:rPr>
        <w:t>分词器加载自定义数字化词典以保证专业术语（如</w:t>
      </w:r>
      <w:r>
        <w:t>"</w:t>
      </w:r>
      <w:r>
        <w:rPr>
          <w:rFonts w:hint="eastAsia" w:ascii="宋体" w:hAnsi="宋体" w:eastAsia="宋体" w:cs="宋体"/>
          <w:lang w:eastAsia="zh-CN"/>
        </w:rPr>
        <w:t>数字孪生</w:t>
      </w:r>
      <w:r>
        <w:t>""</w:t>
      </w:r>
      <w:r>
        <w:rPr>
          <w:rFonts w:hint="eastAsia" w:ascii="宋体" w:hAnsi="宋体" w:eastAsia="宋体" w:cs="宋体"/>
          <w:lang w:eastAsia="zh-CN"/>
        </w:rPr>
        <w:t>边缘计算</w:t>
      </w:r>
      <w:r>
        <w:t>"</w:t>
      </w:r>
      <w:r>
        <w:rPr>
          <w:rFonts w:hint="eastAsia" w:ascii="宋体" w:hAnsi="宋体" w:eastAsia="宋体" w:cs="宋体"/>
          <w:lang w:eastAsia="zh-CN"/>
        </w:rPr>
        <w:t>）不被切碎。第四步，去停用词：在哈工大停用词表基础上补充</w:t>
      </w:r>
      <w:r>
        <w:t>"</w:t>
      </w:r>
      <w:r>
        <w:rPr>
          <w:rFonts w:hint="eastAsia" w:ascii="宋体" w:hAnsi="宋体" w:eastAsia="宋体" w:cs="宋体"/>
          <w:lang w:eastAsia="zh-CN"/>
        </w:rPr>
        <w:t>公司、报告期、同比</w:t>
      </w:r>
      <w:r>
        <w:t>"</w:t>
      </w:r>
      <w:r>
        <w:rPr>
          <w:rFonts w:hint="eastAsia" w:ascii="宋体" w:hAnsi="宋体" w:eastAsia="宋体" w:cs="宋体"/>
          <w:lang w:eastAsia="zh-CN"/>
        </w:rPr>
        <w:t>等年报高频但无区分意义的词，形成包含</w:t>
      </w:r>
      <w:r>
        <w:t>1423</w:t>
      </w:r>
      <w:r>
        <w:rPr>
          <w:rFonts w:hint="eastAsia" w:ascii="宋体" w:hAnsi="宋体" w:eastAsia="宋体" w:cs="宋体"/>
          <w:lang w:eastAsia="zh-CN"/>
        </w:rPr>
        <w:t>个词的停用词表。预处理后，单个年报的平均有效词数为</w:t>
      </w:r>
      <w:r>
        <w:t>8632</w:t>
      </w:r>
      <w:r>
        <w:rPr>
          <w:rFonts w:hint="eastAsia" w:ascii="宋体" w:hAnsi="宋体" w:eastAsia="宋体" w:cs="宋体"/>
          <w:lang w:eastAsia="zh-CN"/>
        </w:rPr>
        <w:t>词。</w:t>
      </w:r>
    </w:p>
    <w:p w14:paraId="2A4B4E5D">
      <w:pPr>
        <w:pStyle w:val="5"/>
      </w:pPr>
      <w:bookmarkStart w:id="21" w:name="sec-2-4"/>
      <w:bookmarkEnd w:id="21"/>
      <w:bookmarkStart w:id="22" w:name="_Toc_sec_2_4"/>
      <w:r>
        <w:rPr>
          <w:rFonts w:hint="eastAsia" w:ascii="宋体" w:hAnsi="宋体" w:eastAsia="宋体" w:cs="宋体"/>
          <w:b/>
          <w:sz w:val="24"/>
          <w:lang w:eastAsia="zh-CN"/>
        </w:rPr>
        <w:t>（四）数字化转型测度构建</w:t>
      </w:r>
      <w:bookmarkEnd w:id="22"/>
    </w:p>
    <w:p w14:paraId="5B15D9CC">
      <w:pPr>
        <w:ind w:firstLine="480"/>
        <w:jc w:val="both"/>
      </w:pPr>
      <w:r>
        <w:rPr>
          <w:rFonts w:hint="eastAsia" w:ascii="宋体" w:hAnsi="宋体" w:eastAsia="宋体" w:cs="宋体"/>
          <w:b/>
          <w:lang w:eastAsia="zh-CN"/>
        </w:rPr>
        <w:t>（1）种子词典构建。</w:t>
      </w:r>
      <w:r>
        <w:rPr>
          <w:rFonts w:hint="eastAsia" w:ascii="宋体" w:hAnsi="宋体" w:eastAsia="宋体" w:cs="宋体"/>
          <w:lang w:eastAsia="zh-CN"/>
        </w:rPr>
        <w:t>以吴非等（</w:t>
      </w:r>
      <w:r>
        <w:t>2021</w:t>
      </w:r>
      <w:r>
        <w:rPr>
          <w:rFonts w:hint="eastAsia" w:ascii="宋体" w:hAnsi="宋体" w:eastAsia="宋体" w:cs="宋体"/>
          <w:lang w:eastAsia="zh-CN"/>
        </w:rPr>
        <w:t>）的五维框架为基础，从</w:t>
      </w:r>
      <w:r>
        <w:t>"</w:t>
      </w:r>
      <w:r>
        <w:rPr>
          <w:rFonts w:hint="eastAsia" w:ascii="宋体" w:hAnsi="宋体" w:eastAsia="宋体" w:cs="宋体"/>
          <w:lang w:eastAsia="zh-CN"/>
        </w:rPr>
        <w:t>人工智能技术、大数据技术、云计算技术、区块链技术、数字技术应用</w:t>
      </w:r>
      <w:r>
        <w:t>"</w:t>
      </w:r>
      <w:r>
        <w:rPr>
          <w:rFonts w:hint="eastAsia" w:ascii="宋体" w:hAnsi="宋体" w:eastAsia="宋体" w:cs="宋体"/>
          <w:lang w:eastAsia="zh-CN"/>
        </w:rPr>
        <w:t>五个维度人工整理</w:t>
      </w:r>
      <w:r>
        <w:t>127</w:t>
      </w:r>
      <w:r>
        <w:rPr>
          <w:rFonts w:hint="eastAsia" w:ascii="宋体" w:hAnsi="宋体" w:eastAsia="宋体" w:cs="宋体"/>
          <w:lang w:eastAsia="zh-CN"/>
        </w:rPr>
        <w:t>个种子词，例如</w:t>
      </w:r>
      <w:r>
        <w:t>"</w:t>
      </w:r>
      <w:r>
        <w:rPr>
          <w:rFonts w:hint="eastAsia" w:ascii="宋体" w:hAnsi="宋体" w:eastAsia="宋体" w:cs="宋体"/>
          <w:lang w:eastAsia="zh-CN"/>
        </w:rPr>
        <w:t>人工智能、机器学习、深度学习、神经网络、大数据、数据挖掘、云计算、上云、区块链、智能合约、数字化、信息化、线上化</w:t>
      </w:r>
      <w:r>
        <w:t>"</w:t>
      </w:r>
      <w:r>
        <w:rPr>
          <w:rFonts w:hint="eastAsia" w:ascii="宋体" w:hAnsi="宋体" w:eastAsia="宋体" w:cs="宋体"/>
          <w:lang w:eastAsia="zh-CN"/>
        </w:rPr>
        <w:t>等。</w:t>
      </w:r>
    </w:p>
    <w:p w14:paraId="1C43521B">
      <w:pPr>
        <w:ind w:firstLine="480"/>
        <w:jc w:val="both"/>
      </w:pPr>
      <w:r>
        <w:rPr>
          <w:rFonts w:hint="eastAsia" w:ascii="宋体" w:hAnsi="宋体" w:eastAsia="宋体" w:cs="宋体"/>
          <w:b/>
          <w:lang w:eastAsia="zh-CN"/>
        </w:rPr>
        <w:t>（2）Word2Vec相似词扩充。</w:t>
      </w:r>
      <w:r>
        <w:rPr>
          <w:rFonts w:hint="eastAsia" w:ascii="宋体" w:hAnsi="宋体" w:eastAsia="宋体" w:cs="宋体"/>
          <w:lang w:eastAsia="zh-CN"/>
        </w:rPr>
        <w:t>将全部预处理后的年报语料训练</w:t>
      </w:r>
      <w:r>
        <w:t>Word2Vec</w:t>
      </w:r>
      <w:r>
        <w:rPr>
          <w:rFonts w:hint="eastAsia" w:ascii="宋体" w:hAnsi="宋体" w:eastAsia="宋体" w:cs="宋体"/>
          <w:lang w:eastAsia="zh-CN"/>
        </w:rPr>
        <w:t>模型（</w:t>
      </w:r>
      <w:r>
        <w:t>Skip-gram</w:t>
      </w:r>
      <w:r>
        <w:rPr>
          <w:rFonts w:hint="eastAsia" w:ascii="宋体" w:hAnsi="宋体" w:eastAsia="宋体" w:cs="宋体"/>
          <w:lang w:eastAsia="zh-CN"/>
        </w:rPr>
        <w:t>架构，词向量维度</w:t>
      </w:r>
      <w:r>
        <w:t>=100</w:t>
      </w:r>
      <w:r>
        <w:rPr>
          <w:rFonts w:hint="eastAsia" w:ascii="宋体" w:hAnsi="宋体" w:eastAsia="宋体" w:cs="宋体"/>
          <w:lang w:eastAsia="zh-CN"/>
        </w:rPr>
        <w:t>，窗口大小</w:t>
      </w:r>
      <w:r>
        <w:t>=5</w:t>
      </w:r>
      <w:r>
        <w:rPr>
          <w:rFonts w:hint="eastAsia" w:ascii="宋体" w:hAnsi="宋体" w:eastAsia="宋体" w:cs="宋体"/>
          <w:lang w:eastAsia="zh-CN"/>
        </w:rPr>
        <w:t>，最小词频</w:t>
      </w:r>
      <w:r>
        <w:t>=5</w:t>
      </w:r>
      <w:r>
        <w:rPr>
          <w:rFonts w:hint="eastAsia" w:ascii="宋体" w:hAnsi="宋体" w:eastAsia="宋体" w:cs="宋体"/>
          <w:lang w:eastAsia="zh-CN"/>
        </w:rPr>
        <w:t>）。对每个种子词，取余弦相似度最高的候选词，由两名编码者独立判断其是否属于数字化语义范畴，保留一致性判断通过的词条，最终将词典扩充至</w:t>
      </w:r>
      <w:r>
        <w:t>215</w:t>
      </w:r>
      <w:r>
        <w:rPr>
          <w:rFonts w:hint="eastAsia" w:ascii="宋体" w:hAnsi="宋体" w:eastAsia="宋体" w:cs="宋体"/>
          <w:lang w:eastAsia="zh-CN"/>
        </w:rPr>
        <w:t>个词，扩充词例如</w:t>
      </w:r>
      <w:r>
        <w:t>"</w:t>
      </w:r>
      <w:r>
        <w:rPr>
          <w:rFonts w:hint="eastAsia" w:ascii="宋体" w:hAnsi="宋体" w:eastAsia="宋体" w:cs="宋体"/>
          <w:lang w:eastAsia="zh-CN"/>
        </w:rPr>
        <w:t>算力、数智化、中台、低代码、</w:t>
      </w:r>
      <w:r>
        <w:t>RPA</w:t>
      </w:r>
      <w:r>
        <w:rPr>
          <w:rFonts w:hint="eastAsia" w:ascii="宋体" w:hAnsi="宋体" w:eastAsia="宋体" w:cs="宋体"/>
          <w:lang w:eastAsia="zh-CN"/>
        </w:rPr>
        <w:t>、数字孪生</w:t>
      </w:r>
      <w:r>
        <w:t>"</w:t>
      </w:r>
      <w:r>
        <w:rPr>
          <w:rFonts w:hint="eastAsia" w:ascii="宋体" w:hAnsi="宋体" w:eastAsia="宋体" w:cs="宋体"/>
          <w:lang w:eastAsia="zh-CN"/>
        </w:rPr>
        <w:t>等新近涌现词汇。这一</w:t>
      </w:r>
      <w:r>
        <w:t>"</w:t>
      </w:r>
      <w:r>
        <w:rPr>
          <w:rFonts w:hint="eastAsia" w:ascii="宋体" w:hAnsi="宋体" w:eastAsia="宋体" w:cs="宋体"/>
          <w:lang w:eastAsia="zh-CN"/>
        </w:rPr>
        <w:t>人工种子</w:t>
      </w:r>
      <w:r>
        <w:t>+</w:t>
      </w:r>
      <w:r>
        <w:rPr>
          <w:rFonts w:hint="eastAsia" w:ascii="宋体" w:hAnsi="宋体" w:eastAsia="宋体" w:cs="宋体"/>
          <w:lang w:eastAsia="zh-CN"/>
        </w:rPr>
        <w:t>机器扩充</w:t>
      </w:r>
      <w:r>
        <w:t>+</w:t>
      </w:r>
      <w:r>
        <w:rPr>
          <w:rFonts w:hint="eastAsia" w:ascii="宋体" w:hAnsi="宋体" w:eastAsia="宋体" w:cs="宋体"/>
          <w:lang w:eastAsia="zh-CN"/>
        </w:rPr>
        <w:t>人工确认</w:t>
      </w:r>
      <w:r>
        <w:t>"</w:t>
      </w:r>
      <w:r>
        <w:rPr>
          <w:rFonts w:hint="eastAsia" w:ascii="宋体" w:hAnsi="宋体" w:eastAsia="宋体" w:cs="宋体"/>
          <w:lang w:eastAsia="zh-CN"/>
        </w:rPr>
        <w:t>的半自动化流程，兼顾了词典的覆盖度与构念效度。</w:t>
      </w:r>
    </w:p>
    <w:p w14:paraId="0CE24C88">
      <w:pPr>
        <w:ind w:firstLine="480"/>
        <w:jc w:val="both"/>
      </w:pPr>
      <w:r>
        <w:rPr>
          <w:rFonts w:hint="eastAsia" w:ascii="宋体" w:hAnsi="宋体" w:eastAsia="宋体" w:cs="宋体"/>
          <w:b/>
          <w:lang w:eastAsia="zh-CN"/>
        </w:rPr>
        <w:t>（3）测度公式。</w:t>
      </w:r>
      <w:r>
        <w:rPr>
          <w:rFonts w:hint="eastAsia" w:ascii="宋体" w:hAnsi="宋体" w:eastAsia="宋体" w:cs="宋体"/>
          <w:lang w:eastAsia="zh-CN"/>
        </w:rPr>
        <w:t>为消除企业年报篇幅差异的影响，采用相对词频占比构建指数。令企业</w:t>
      </w:r>
      <w:r>
        <w:t xml:space="preserve"> i </w:t>
      </w:r>
      <w:r>
        <w:rPr>
          <w:rFonts w:hint="eastAsia" w:ascii="宋体" w:hAnsi="宋体" w:eastAsia="宋体" w:cs="宋体"/>
          <w:lang w:eastAsia="zh-CN"/>
        </w:rPr>
        <w:t>在年度</w:t>
      </w:r>
      <w:r>
        <w:t xml:space="preserve"> t </w:t>
      </w:r>
      <w:r>
        <w:rPr>
          <w:rFonts w:hint="eastAsia" w:ascii="宋体" w:hAnsi="宋体" w:eastAsia="宋体" w:cs="宋体"/>
          <w:lang w:eastAsia="zh-CN"/>
        </w:rPr>
        <w:t>的年报中，数字化词典词</w:t>
      </w:r>
      <w:r>
        <w:t xml:space="preserve"> w_k </w:t>
      </w:r>
      <w:r>
        <w:rPr>
          <w:rFonts w:hint="eastAsia" w:ascii="宋体" w:hAnsi="宋体" w:eastAsia="宋体" w:cs="宋体"/>
          <w:lang w:eastAsia="zh-CN"/>
        </w:rPr>
        <w:t>的出现频次为</w:t>
      </w:r>
      <w:r>
        <w:t xml:space="preserve"> Count_k(it)</w:t>
      </w:r>
      <w:r>
        <w:rPr>
          <w:rFonts w:hint="eastAsia" w:ascii="宋体" w:hAnsi="宋体" w:eastAsia="宋体" w:cs="宋体"/>
          <w:lang w:eastAsia="zh-CN"/>
        </w:rPr>
        <w:t>，年报</w:t>
      </w:r>
      <w:r>
        <w:t>MD&amp;A</w:t>
      </w:r>
      <w:r>
        <w:rPr>
          <w:rFonts w:hint="eastAsia" w:ascii="宋体" w:hAnsi="宋体" w:eastAsia="宋体" w:cs="宋体"/>
          <w:lang w:eastAsia="zh-CN"/>
        </w:rPr>
        <w:t>部分总词数为</w:t>
      </w:r>
      <w:r>
        <w:t xml:space="preserve"> TotalWords_it</w:t>
      </w:r>
      <w:r>
        <w:rPr>
          <w:rFonts w:hint="eastAsia" w:ascii="宋体" w:hAnsi="宋体" w:eastAsia="宋体" w:cs="宋体"/>
          <w:lang w:eastAsia="zh-CN"/>
        </w:rPr>
        <w:t>，则企业数字化转型指数定义为：</w:t>
      </w:r>
    </w:p>
    <w:p w14:paraId="50A2EB1A">
      <w:pPr>
        <w:spacing w:before="240" w:after="240"/>
        <w:ind w:firstLine="0"/>
        <w:jc w:val="center"/>
      </w:pPr>
      <w:r>
        <w:rPr>
          <w:rFonts w:ascii="Times New Roman" w:hAnsi="Times New Roman"/>
        </w:rPr>
        <w:t>DTI</w:t>
      </w:r>
      <w:r>
        <w:rPr>
          <w:rFonts w:ascii="Times New Roman" w:hAnsi="Times New Roman"/>
          <w:vertAlign w:val="subscript"/>
        </w:rPr>
        <w:t>it</w:t>
      </w:r>
      <w:r>
        <w:rPr>
          <w:rFonts w:ascii="Times New Roman" w:hAnsi="Times New Roman"/>
        </w:rPr>
        <w:t xml:space="preserve"> = ( Σ</w:t>
      </w:r>
      <w:r>
        <w:rPr>
          <w:rFonts w:ascii="Times New Roman" w:hAnsi="Times New Roman"/>
          <w:vertAlign w:val="subscript"/>
        </w:rPr>
        <w:t>k</w:t>
      </w:r>
      <w:r>
        <w:rPr>
          <w:rFonts w:ascii="Times New Roman" w:hAnsi="Times New Roman"/>
        </w:rPr>
        <w:t xml:space="preserve"> Count</w:t>
      </w:r>
      <w:r>
        <w:rPr>
          <w:rFonts w:ascii="Times New Roman" w:hAnsi="Times New Roman"/>
          <w:vertAlign w:val="subscript"/>
        </w:rPr>
        <w:t>k</w:t>
      </w:r>
      <w:r>
        <w:rPr>
          <w:rFonts w:ascii="Times New Roman" w:hAnsi="Times New Roman"/>
        </w:rPr>
        <w:t>(it) / TotalWords</w:t>
      </w:r>
      <w:r>
        <w:rPr>
          <w:rFonts w:ascii="Times New Roman" w:hAnsi="Times New Roman"/>
          <w:vertAlign w:val="subscript"/>
        </w:rPr>
        <w:t>it</w:t>
      </w:r>
      <w:r>
        <w:rPr>
          <w:rFonts w:ascii="Times New Roman" w:hAnsi="Times New Roman"/>
        </w:rPr>
        <w:t xml:space="preserve"> ) × 100</w:t>
      </w:r>
      <w:r>
        <w:rPr>
          <w:rFonts w:hint="eastAsia" w:ascii="宋体" w:hAnsi="宋体" w:eastAsia="宋体" w:cs="宋体"/>
          <w:lang w:eastAsia="zh-CN"/>
        </w:rPr>
        <w:t>　　（</w:t>
      </w:r>
      <w:r>
        <w:rPr>
          <w:rFonts w:ascii="Times New Roman" w:hAnsi="Times New Roman"/>
        </w:rPr>
        <w:t>2-1</w:t>
      </w:r>
      <w:r>
        <w:rPr>
          <w:rFonts w:hint="eastAsia" w:ascii="宋体" w:hAnsi="宋体" w:eastAsia="宋体" w:cs="宋体"/>
          <w:lang w:eastAsia="zh-CN"/>
        </w:rPr>
        <w:t>）</w:t>
      </w:r>
    </w:p>
    <w:p w14:paraId="40BD6E32">
      <w:pPr>
        <w:ind w:firstLine="480"/>
        <w:jc w:val="both"/>
      </w:pPr>
      <w:r>
        <w:rPr>
          <w:rFonts w:hint="eastAsia" w:ascii="宋体" w:hAnsi="宋体" w:eastAsia="宋体" w:cs="宋体"/>
          <w:lang w:eastAsia="zh-CN"/>
        </w:rPr>
        <w:t>其中分母采用</w:t>
      </w:r>
      <w:r>
        <w:t>MD&amp;A</w:t>
      </w:r>
      <w:r>
        <w:rPr>
          <w:rFonts w:hint="eastAsia" w:ascii="宋体" w:hAnsi="宋体" w:eastAsia="宋体" w:cs="宋体"/>
          <w:lang w:eastAsia="zh-CN"/>
        </w:rPr>
        <w:t>总词数以避免</w:t>
      </w:r>
      <w:r>
        <w:t>"</w:t>
      </w:r>
      <w:r>
        <w:rPr>
          <w:rFonts w:hint="eastAsia" w:ascii="宋体" w:hAnsi="宋体" w:eastAsia="宋体" w:cs="宋体"/>
          <w:lang w:eastAsia="zh-CN"/>
        </w:rPr>
        <w:t>长年报稀释效应</w:t>
      </w:r>
      <w:r>
        <w:t>"</w:t>
      </w:r>
      <w:r>
        <w:rPr>
          <w:rFonts w:hint="eastAsia" w:ascii="宋体" w:hAnsi="宋体" w:eastAsia="宋体" w:cs="宋体"/>
          <w:lang w:eastAsia="zh-CN"/>
        </w:rPr>
        <w:t>，分子对</w:t>
      </w:r>
      <w:r>
        <w:t>215</w:t>
      </w:r>
      <w:r>
        <w:rPr>
          <w:rFonts w:hint="eastAsia" w:ascii="宋体" w:hAnsi="宋体" w:eastAsia="宋体" w:cs="宋体"/>
          <w:lang w:eastAsia="zh-CN"/>
        </w:rPr>
        <w:t>个词典词加总（重复计数同一词的多次出现）。为检验测度对分母选择的敏感性，后文将以全文总词数为分母重新计算</w:t>
      </w:r>
      <w:r>
        <w:t>DTI</w:t>
      </w:r>
      <w:r>
        <w:rPr>
          <w:rFonts w:hint="eastAsia" w:ascii="宋体" w:hAnsi="宋体" w:eastAsia="宋体" w:cs="宋体"/>
          <w:lang w:eastAsia="zh-CN"/>
        </w:rPr>
        <w:t>进行稳健性检验。</w:t>
      </w:r>
    </w:p>
    <w:p w14:paraId="082B04D7">
      <w:pPr>
        <w:ind w:firstLine="480"/>
        <w:jc w:val="both"/>
      </w:pPr>
      <w:r>
        <w:rPr>
          <w:rFonts w:hint="eastAsia" w:ascii="宋体" w:hAnsi="宋体" w:eastAsia="宋体" w:cs="宋体"/>
          <w:b/>
          <w:lang w:eastAsia="zh-CN"/>
        </w:rPr>
        <w:t>（4）变量定义表。</w:t>
      </w:r>
      <w:r>
        <w:rPr>
          <w:rFonts w:hint="eastAsia" w:ascii="宋体" w:hAnsi="宋体" w:eastAsia="宋体" w:cs="宋体"/>
          <w:lang w:eastAsia="zh-CN"/>
        </w:rPr>
        <w:t>本文使用的全部变量定义与测度方式如表</w:t>
      </w:r>
      <w:r>
        <w:t>1</w:t>
      </w:r>
      <w:r>
        <w:rPr>
          <w:rFonts w:hint="eastAsia" w:ascii="宋体" w:hAnsi="宋体" w:eastAsia="宋体" w:cs="宋体"/>
          <w:lang w:eastAsia="zh-CN"/>
        </w:rPr>
        <w:t>所示。</w:t>
      </w:r>
    </w:p>
    <w:tbl>
      <w:tblPr>
        <w:tblStyle w:val="32"/>
        <w:tblW w:w="5000" w:type="pct"/>
        <w:tblInd w:w="0" w:type="dxa"/>
        <w:tblLayout w:type="autofit"/>
        <w:tblCellMar>
          <w:top w:w="0" w:type="dxa"/>
          <w:left w:w="108" w:type="dxa"/>
          <w:bottom w:w="0" w:type="dxa"/>
          <w:right w:w="108" w:type="dxa"/>
        </w:tblCellMar>
      </w:tblPr>
      <w:tblGrid>
        <w:gridCol w:w="2269"/>
        <w:gridCol w:w="2269"/>
        <w:gridCol w:w="2269"/>
        <w:gridCol w:w="2269"/>
      </w:tblGrid>
      <w:tr w14:paraId="3CA76BE8">
        <w:tc>
          <w:tcPr>
            <w:tcW w:w="2160"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0DB5657E">
            <w:pPr>
              <w:spacing w:before="52" w:after="52" w:line="240" w:lineRule="auto"/>
              <w:jc w:val="left"/>
            </w:pPr>
            <w:r>
              <w:rPr>
                <w:b/>
                <w:sz w:val="21"/>
              </w:rPr>
              <w:t>变量类型</w:t>
            </w:r>
          </w:p>
        </w:tc>
        <w:tc>
          <w:tcPr>
            <w:tcW w:w="2160"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4194CF6D">
            <w:pPr>
              <w:spacing w:before="52" w:after="52" w:line="240" w:lineRule="auto"/>
              <w:jc w:val="left"/>
            </w:pPr>
            <w:r>
              <w:rPr>
                <w:b/>
                <w:sz w:val="21"/>
              </w:rPr>
              <w:t>变量名称</w:t>
            </w:r>
          </w:p>
        </w:tc>
        <w:tc>
          <w:tcPr>
            <w:tcW w:w="2160"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645290D9">
            <w:pPr>
              <w:spacing w:before="52" w:after="52" w:line="240" w:lineRule="auto"/>
              <w:jc w:val="left"/>
            </w:pPr>
            <w:r>
              <w:rPr>
                <w:b/>
                <w:sz w:val="21"/>
              </w:rPr>
              <w:t>符号</w:t>
            </w:r>
          </w:p>
        </w:tc>
        <w:tc>
          <w:tcPr>
            <w:tcW w:w="2160"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2B644F1E">
            <w:pPr>
              <w:spacing w:before="52" w:after="52" w:line="240" w:lineRule="auto"/>
              <w:jc w:val="left"/>
            </w:pPr>
            <w:r>
              <w:rPr>
                <w:b/>
                <w:sz w:val="21"/>
              </w:rPr>
              <w:t>定义与测度方式</w:t>
            </w:r>
          </w:p>
        </w:tc>
      </w:tr>
      <w:tr w14:paraId="156B33DD">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077D37A5">
            <w:pPr>
              <w:spacing w:before="52" w:after="52" w:line="240" w:lineRule="auto"/>
              <w:jc w:val="left"/>
            </w:pPr>
            <w:r>
              <w:rPr>
                <w:sz w:val="21"/>
              </w:rPr>
              <w:t>被解释变量</w:t>
            </w:r>
          </w:p>
        </w:tc>
        <w:tc>
          <w:tcPr>
            <w:tcW w:w="2160" w:type="dxa"/>
            <w:tcBorders>
              <w:left w:val="nil"/>
              <w:right w:val="nil"/>
            </w:tcBorders>
            <w:tcMar>
              <w:top w:w="96" w:type="dxa"/>
              <w:left w:w="144" w:type="dxa"/>
              <w:bottom w:w="96" w:type="dxa"/>
              <w:right w:w="144" w:type="dxa"/>
            </w:tcMar>
            <w:vAlign w:val="center"/>
          </w:tcPr>
          <w:p w14:paraId="5EB9CF47">
            <w:pPr>
              <w:spacing w:before="52" w:after="52" w:line="240" w:lineRule="auto"/>
              <w:jc w:val="left"/>
            </w:pPr>
            <w:r>
              <w:rPr>
                <w:sz w:val="21"/>
              </w:rPr>
              <w:t>企业绩效</w:t>
            </w:r>
          </w:p>
        </w:tc>
        <w:tc>
          <w:tcPr>
            <w:tcW w:w="2160" w:type="dxa"/>
            <w:tcBorders>
              <w:left w:val="nil"/>
              <w:right w:val="nil"/>
            </w:tcBorders>
            <w:tcMar>
              <w:top w:w="96" w:type="dxa"/>
              <w:left w:w="144" w:type="dxa"/>
              <w:bottom w:w="96" w:type="dxa"/>
              <w:right w:w="144" w:type="dxa"/>
            </w:tcMar>
            <w:vAlign w:val="center"/>
          </w:tcPr>
          <w:p w14:paraId="12F9AB35">
            <w:pPr>
              <w:spacing w:before="52" w:after="52" w:line="240" w:lineRule="auto"/>
              <w:jc w:val="left"/>
            </w:pPr>
            <w:r>
              <w:rPr>
                <w:sz w:val="21"/>
              </w:rPr>
              <w:t>ROA</w:t>
            </w:r>
          </w:p>
        </w:tc>
        <w:tc>
          <w:tcPr>
            <w:tcW w:w="2160" w:type="dxa"/>
            <w:tcBorders>
              <w:left w:val="nil"/>
              <w:right w:val="nil"/>
            </w:tcBorders>
            <w:tcMar>
              <w:top w:w="96" w:type="dxa"/>
              <w:left w:w="144" w:type="dxa"/>
              <w:bottom w:w="96" w:type="dxa"/>
              <w:right w:w="144" w:type="dxa"/>
            </w:tcMar>
            <w:vAlign w:val="center"/>
          </w:tcPr>
          <w:p w14:paraId="6A20E7D7">
            <w:pPr>
              <w:spacing w:before="52" w:after="52" w:line="240" w:lineRule="auto"/>
              <w:jc w:val="left"/>
            </w:pPr>
            <w:r>
              <w:rPr>
                <w:sz w:val="21"/>
              </w:rPr>
              <w:t>总资产收益率 = 净利润 / 平均总资产 ×100%</w:t>
            </w:r>
          </w:p>
        </w:tc>
      </w:tr>
      <w:tr w14:paraId="26973823">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30B07164">
            <w:pPr>
              <w:spacing w:before="52" w:after="52" w:line="240" w:lineRule="auto"/>
              <w:jc w:val="left"/>
            </w:pPr>
            <w:r>
              <w:rPr>
                <w:sz w:val="21"/>
              </w:rPr>
              <w:t>核心解释变量</w:t>
            </w:r>
          </w:p>
        </w:tc>
        <w:tc>
          <w:tcPr>
            <w:tcW w:w="2160" w:type="dxa"/>
            <w:tcBorders>
              <w:left w:val="nil"/>
              <w:right w:val="nil"/>
            </w:tcBorders>
            <w:tcMar>
              <w:top w:w="96" w:type="dxa"/>
              <w:left w:w="144" w:type="dxa"/>
              <w:bottom w:w="96" w:type="dxa"/>
              <w:right w:w="144" w:type="dxa"/>
            </w:tcMar>
            <w:vAlign w:val="center"/>
          </w:tcPr>
          <w:p w14:paraId="027B208D">
            <w:pPr>
              <w:spacing w:before="52" w:after="52" w:line="240" w:lineRule="auto"/>
              <w:jc w:val="left"/>
            </w:pPr>
            <w:r>
              <w:rPr>
                <w:sz w:val="21"/>
              </w:rPr>
              <w:t>数字化转型指数</w:t>
            </w:r>
          </w:p>
        </w:tc>
        <w:tc>
          <w:tcPr>
            <w:tcW w:w="2160" w:type="dxa"/>
            <w:tcBorders>
              <w:left w:val="nil"/>
              <w:right w:val="nil"/>
            </w:tcBorders>
            <w:tcMar>
              <w:top w:w="96" w:type="dxa"/>
              <w:left w:w="144" w:type="dxa"/>
              <w:bottom w:w="96" w:type="dxa"/>
              <w:right w:w="144" w:type="dxa"/>
            </w:tcMar>
            <w:vAlign w:val="center"/>
          </w:tcPr>
          <w:p w14:paraId="2B11A75D">
            <w:pPr>
              <w:spacing w:before="52" w:after="52" w:line="240" w:lineRule="auto"/>
              <w:jc w:val="left"/>
            </w:pPr>
            <w:r>
              <w:rPr>
                <w:sz w:val="21"/>
              </w:rPr>
              <w:t>DTI</w:t>
            </w:r>
          </w:p>
        </w:tc>
        <w:tc>
          <w:tcPr>
            <w:tcW w:w="2160" w:type="dxa"/>
            <w:tcBorders>
              <w:left w:val="nil"/>
              <w:right w:val="nil"/>
            </w:tcBorders>
            <w:tcMar>
              <w:top w:w="96" w:type="dxa"/>
              <w:left w:w="144" w:type="dxa"/>
              <w:bottom w:w="96" w:type="dxa"/>
              <w:right w:w="144" w:type="dxa"/>
            </w:tcMar>
            <w:vAlign w:val="center"/>
          </w:tcPr>
          <w:p w14:paraId="225F7861">
            <w:pPr>
              <w:spacing w:before="52" w:after="52" w:line="240" w:lineRule="auto"/>
              <w:jc w:val="left"/>
            </w:pPr>
            <w:r>
              <w:rPr>
                <w:sz w:val="21"/>
              </w:rPr>
              <w:t>数字化词典词频合计 /MD&amp;A 总词数 ×100</w:t>
            </w:r>
          </w:p>
        </w:tc>
      </w:tr>
      <w:tr w14:paraId="3A08483E">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2725DD46">
            <w:pPr>
              <w:spacing w:before="52" w:after="52" w:line="240" w:lineRule="auto"/>
              <w:jc w:val="left"/>
            </w:pPr>
            <w:r>
              <w:rPr>
                <w:sz w:val="21"/>
              </w:rPr>
              <w:t>控制变量</w:t>
            </w:r>
          </w:p>
        </w:tc>
        <w:tc>
          <w:tcPr>
            <w:tcW w:w="2160" w:type="dxa"/>
            <w:tcBorders>
              <w:left w:val="nil"/>
              <w:right w:val="nil"/>
            </w:tcBorders>
            <w:tcMar>
              <w:top w:w="96" w:type="dxa"/>
              <w:left w:w="144" w:type="dxa"/>
              <w:bottom w:w="96" w:type="dxa"/>
              <w:right w:w="144" w:type="dxa"/>
            </w:tcMar>
            <w:vAlign w:val="center"/>
          </w:tcPr>
          <w:p w14:paraId="7FFA2966">
            <w:pPr>
              <w:spacing w:before="52" w:after="52" w:line="240" w:lineRule="auto"/>
              <w:jc w:val="left"/>
            </w:pPr>
            <w:r>
              <w:rPr>
                <w:sz w:val="21"/>
              </w:rPr>
              <w:t>企业规模</w:t>
            </w:r>
          </w:p>
        </w:tc>
        <w:tc>
          <w:tcPr>
            <w:tcW w:w="2160" w:type="dxa"/>
            <w:tcBorders>
              <w:left w:val="nil"/>
              <w:right w:val="nil"/>
            </w:tcBorders>
            <w:tcMar>
              <w:top w:w="96" w:type="dxa"/>
              <w:left w:w="144" w:type="dxa"/>
              <w:bottom w:w="96" w:type="dxa"/>
              <w:right w:w="144" w:type="dxa"/>
            </w:tcMar>
            <w:vAlign w:val="center"/>
          </w:tcPr>
          <w:p w14:paraId="1D708145">
            <w:pPr>
              <w:spacing w:before="52" w:after="52" w:line="240" w:lineRule="auto"/>
              <w:jc w:val="left"/>
            </w:pPr>
            <w:r>
              <w:rPr>
                <w:sz w:val="21"/>
              </w:rPr>
              <w:t>Size</w:t>
            </w:r>
          </w:p>
        </w:tc>
        <w:tc>
          <w:tcPr>
            <w:tcW w:w="2160" w:type="dxa"/>
            <w:tcBorders>
              <w:left w:val="nil"/>
              <w:right w:val="nil"/>
            </w:tcBorders>
            <w:tcMar>
              <w:top w:w="96" w:type="dxa"/>
              <w:left w:w="144" w:type="dxa"/>
              <w:bottom w:w="96" w:type="dxa"/>
              <w:right w:w="144" w:type="dxa"/>
            </w:tcMar>
            <w:vAlign w:val="center"/>
          </w:tcPr>
          <w:p w14:paraId="03954433">
            <w:pPr>
              <w:spacing w:before="52" w:after="52" w:line="240" w:lineRule="auto"/>
              <w:jc w:val="left"/>
            </w:pPr>
            <w:r>
              <w:rPr>
                <w:sz w:val="21"/>
              </w:rPr>
              <w:t>年末总资产的自然对数</w:t>
            </w:r>
          </w:p>
        </w:tc>
      </w:tr>
      <w:tr w14:paraId="0833FEDB">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0EF4ECAC">
            <w:pPr>
              <w:spacing w:before="52" w:after="52" w:line="240" w:lineRule="auto"/>
              <w:jc w:val="left"/>
            </w:pPr>
            <w:r>
              <w:rPr>
                <w:sz w:val="21"/>
              </w:rPr>
              <w:t>控制变量</w:t>
            </w:r>
          </w:p>
        </w:tc>
        <w:tc>
          <w:tcPr>
            <w:tcW w:w="2160" w:type="dxa"/>
            <w:tcBorders>
              <w:left w:val="nil"/>
              <w:right w:val="nil"/>
            </w:tcBorders>
            <w:tcMar>
              <w:top w:w="96" w:type="dxa"/>
              <w:left w:w="144" w:type="dxa"/>
              <w:bottom w:w="96" w:type="dxa"/>
              <w:right w:w="144" w:type="dxa"/>
            </w:tcMar>
            <w:vAlign w:val="center"/>
          </w:tcPr>
          <w:p w14:paraId="474FE586">
            <w:pPr>
              <w:spacing w:before="52" w:after="52" w:line="240" w:lineRule="auto"/>
              <w:jc w:val="left"/>
            </w:pPr>
            <w:r>
              <w:rPr>
                <w:sz w:val="21"/>
              </w:rPr>
              <w:t>资产负债率</w:t>
            </w:r>
          </w:p>
        </w:tc>
        <w:tc>
          <w:tcPr>
            <w:tcW w:w="2160" w:type="dxa"/>
            <w:tcBorders>
              <w:left w:val="nil"/>
              <w:right w:val="nil"/>
            </w:tcBorders>
            <w:tcMar>
              <w:top w:w="96" w:type="dxa"/>
              <w:left w:w="144" w:type="dxa"/>
              <w:bottom w:w="96" w:type="dxa"/>
              <w:right w:w="144" w:type="dxa"/>
            </w:tcMar>
            <w:vAlign w:val="center"/>
          </w:tcPr>
          <w:p w14:paraId="734AF6A8">
            <w:pPr>
              <w:spacing w:before="52" w:after="52" w:line="240" w:lineRule="auto"/>
              <w:jc w:val="left"/>
            </w:pPr>
            <w:r>
              <w:rPr>
                <w:sz w:val="21"/>
              </w:rPr>
              <w:t>Lev</w:t>
            </w:r>
          </w:p>
        </w:tc>
        <w:tc>
          <w:tcPr>
            <w:tcW w:w="2160" w:type="dxa"/>
            <w:tcBorders>
              <w:left w:val="nil"/>
              <w:right w:val="nil"/>
            </w:tcBorders>
            <w:tcMar>
              <w:top w:w="96" w:type="dxa"/>
              <w:left w:w="144" w:type="dxa"/>
              <w:bottom w:w="96" w:type="dxa"/>
              <w:right w:w="144" w:type="dxa"/>
            </w:tcMar>
            <w:vAlign w:val="center"/>
          </w:tcPr>
          <w:p w14:paraId="56614F1C">
            <w:pPr>
              <w:spacing w:before="52" w:after="52" w:line="240" w:lineRule="auto"/>
              <w:jc w:val="left"/>
            </w:pPr>
            <w:r>
              <w:rPr>
                <w:sz w:val="21"/>
              </w:rPr>
              <w:t>年末总负债 / 年末总资产</w:t>
            </w:r>
          </w:p>
        </w:tc>
      </w:tr>
      <w:tr w14:paraId="0E39BB92">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73916A4E">
            <w:pPr>
              <w:spacing w:before="52" w:after="52" w:line="240" w:lineRule="auto"/>
              <w:jc w:val="left"/>
            </w:pPr>
            <w:r>
              <w:rPr>
                <w:sz w:val="21"/>
              </w:rPr>
              <w:t>控制变量</w:t>
            </w:r>
          </w:p>
        </w:tc>
        <w:tc>
          <w:tcPr>
            <w:tcW w:w="2160" w:type="dxa"/>
            <w:tcBorders>
              <w:left w:val="nil"/>
              <w:right w:val="nil"/>
            </w:tcBorders>
            <w:tcMar>
              <w:top w:w="96" w:type="dxa"/>
              <w:left w:w="144" w:type="dxa"/>
              <w:bottom w:w="96" w:type="dxa"/>
              <w:right w:w="144" w:type="dxa"/>
            </w:tcMar>
            <w:vAlign w:val="center"/>
          </w:tcPr>
          <w:p w14:paraId="5CF6D9CB">
            <w:pPr>
              <w:spacing w:before="52" w:after="52" w:line="240" w:lineRule="auto"/>
              <w:jc w:val="left"/>
            </w:pPr>
            <w:r>
              <w:rPr>
                <w:sz w:val="21"/>
              </w:rPr>
              <w:t>企业成长性</w:t>
            </w:r>
          </w:p>
        </w:tc>
        <w:tc>
          <w:tcPr>
            <w:tcW w:w="2160" w:type="dxa"/>
            <w:tcBorders>
              <w:left w:val="nil"/>
              <w:right w:val="nil"/>
            </w:tcBorders>
            <w:tcMar>
              <w:top w:w="96" w:type="dxa"/>
              <w:left w:w="144" w:type="dxa"/>
              <w:bottom w:w="96" w:type="dxa"/>
              <w:right w:w="144" w:type="dxa"/>
            </w:tcMar>
            <w:vAlign w:val="center"/>
          </w:tcPr>
          <w:p w14:paraId="37A233D0">
            <w:pPr>
              <w:spacing w:before="52" w:after="52" w:line="240" w:lineRule="auto"/>
              <w:jc w:val="left"/>
            </w:pPr>
            <w:r>
              <w:rPr>
                <w:sz w:val="21"/>
              </w:rPr>
              <w:t>Growth</w:t>
            </w:r>
          </w:p>
        </w:tc>
        <w:tc>
          <w:tcPr>
            <w:tcW w:w="2160" w:type="dxa"/>
            <w:tcBorders>
              <w:left w:val="nil"/>
              <w:right w:val="nil"/>
            </w:tcBorders>
            <w:tcMar>
              <w:top w:w="96" w:type="dxa"/>
              <w:left w:w="144" w:type="dxa"/>
              <w:bottom w:w="96" w:type="dxa"/>
              <w:right w:w="144" w:type="dxa"/>
            </w:tcMar>
            <w:vAlign w:val="center"/>
          </w:tcPr>
          <w:p w14:paraId="7532BDEF">
            <w:pPr>
              <w:spacing w:before="52" w:after="52" w:line="240" w:lineRule="auto"/>
              <w:jc w:val="left"/>
            </w:pPr>
            <w:r>
              <w:rPr>
                <w:sz w:val="21"/>
              </w:rPr>
              <w:t>营业收入同比增长率</w:t>
            </w:r>
          </w:p>
        </w:tc>
      </w:tr>
      <w:tr w14:paraId="56EA547D">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14D02931">
            <w:pPr>
              <w:spacing w:before="52" w:after="52" w:line="240" w:lineRule="auto"/>
              <w:jc w:val="left"/>
            </w:pPr>
            <w:r>
              <w:rPr>
                <w:sz w:val="21"/>
              </w:rPr>
              <w:t>控制变量</w:t>
            </w:r>
          </w:p>
        </w:tc>
        <w:tc>
          <w:tcPr>
            <w:tcW w:w="2160" w:type="dxa"/>
            <w:tcBorders>
              <w:left w:val="nil"/>
              <w:right w:val="nil"/>
            </w:tcBorders>
            <w:tcMar>
              <w:top w:w="96" w:type="dxa"/>
              <w:left w:w="144" w:type="dxa"/>
              <w:bottom w:w="96" w:type="dxa"/>
              <w:right w:w="144" w:type="dxa"/>
            </w:tcMar>
            <w:vAlign w:val="center"/>
          </w:tcPr>
          <w:p w14:paraId="4C2296C0">
            <w:pPr>
              <w:spacing w:before="52" w:after="52" w:line="240" w:lineRule="auto"/>
              <w:jc w:val="left"/>
            </w:pPr>
            <w:r>
              <w:rPr>
                <w:sz w:val="21"/>
              </w:rPr>
              <w:t>股权集中度</w:t>
            </w:r>
          </w:p>
        </w:tc>
        <w:tc>
          <w:tcPr>
            <w:tcW w:w="2160" w:type="dxa"/>
            <w:tcBorders>
              <w:left w:val="nil"/>
              <w:right w:val="nil"/>
            </w:tcBorders>
            <w:tcMar>
              <w:top w:w="96" w:type="dxa"/>
              <w:left w:w="144" w:type="dxa"/>
              <w:bottom w:w="96" w:type="dxa"/>
              <w:right w:w="144" w:type="dxa"/>
            </w:tcMar>
            <w:vAlign w:val="center"/>
          </w:tcPr>
          <w:p w14:paraId="5418F518">
            <w:pPr>
              <w:spacing w:before="52" w:after="52" w:line="240" w:lineRule="auto"/>
              <w:jc w:val="left"/>
            </w:pPr>
            <w:r>
              <w:rPr>
                <w:sz w:val="21"/>
              </w:rPr>
              <w:t>Top1</w:t>
            </w:r>
          </w:p>
        </w:tc>
        <w:tc>
          <w:tcPr>
            <w:tcW w:w="2160" w:type="dxa"/>
            <w:tcBorders>
              <w:left w:val="nil"/>
              <w:right w:val="nil"/>
            </w:tcBorders>
            <w:tcMar>
              <w:top w:w="96" w:type="dxa"/>
              <w:left w:w="144" w:type="dxa"/>
              <w:bottom w:w="96" w:type="dxa"/>
              <w:right w:w="144" w:type="dxa"/>
            </w:tcMar>
            <w:vAlign w:val="center"/>
          </w:tcPr>
          <w:p w14:paraId="5AA7920B">
            <w:pPr>
              <w:spacing w:before="52" w:after="52" w:line="240" w:lineRule="auto"/>
              <w:jc w:val="left"/>
            </w:pPr>
            <w:r>
              <w:rPr>
                <w:sz w:val="21"/>
              </w:rPr>
              <w:t>第一大股东持股比例</w:t>
            </w:r>
          </w:p>
        </w:tc>
      </w:tr>
      <w:tr w14:paraId="615C5623">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2B18F201">
            <w:pPr>
              <w:spacing w:before="52" w:after="52" w:line="240" w:lineRule="auto"/>
              <w:jc w:val="left"/>
            </w:pPr>
            <w:r>
              <w:rPr>
                <w:sz w:val="21"/>
              </w:rPr>
              <w:t>控制变量</w:t>
            </w:r>
          </w:p>
        </w:tc>
        <w:tc>
          <w:tcPr>
            <w:tcW w:w="2160" w:type="dxa"/>
            <w:tcBorders>
              <w:left w:val="nil"/>
              <w:right w:val="nil"/>
            </w:tcBorders>
            <w:tcMar>
              <w:top w:w="96" w:type="dxa"/>
              <w:left w:w="144" w:type="dxa"/>
              <w:bottom w:w="96" w:type="dxa"/>
              <w:right w:w="144" w:type="dxa"/>
            </w:tcMar>
            <w:vAlign w:val="center"/>
          </w:tcPr>
          <w:p w14:paraId="40855CE8">
            <w:pPr>
              <w:spacing w:before="52" w:after="52" w:line="240" w:lineRule="auto"/>
              <w:jc w:val="left"/>
            </w:pPr>
            <w:r>
              <w:rPr>
                <w:sz w:val="21"/>
              </w:rPr>
              <w:t>两职合一</w:t>
            </w:r>
          </w:p>
        </w:tc>
        <w:tc>
          <w:tcPr>
            <w:tcW w:w="2160" w:type="dxa"/>
            <w:tcBorders>
              <w:left w:val="nil"/>
              <w:right w:val="nil"/>
            </w:tcBorders>
            <w:tcMar>
              <w:top w:w="96" w:type="dxa"/>
              <w:left w:w="144" w:type="dxa"/>
              <w:bottom w:w="96" w:type="dxa"/>
              <w:right w:w="144" w:type="dxa"/>
            </w:tcMar>
            <w:vAlign w:val="center"/>
          </w:tcPr>
          <w:p w14:paraId="221CE8D5">
            <w:pPr>
              <w:spacing w:before="52" w:after="52" w:line="240" w:lineRule="auto"/>
              <w:jc w:val="left"/>
            </w:pPr>
            <w:r>
              <w:rPr>
                <w:sz w:val="21"/>
              </w:rPr>
              <w:t>Dual</w:t>
            </w:r>
          </w:p>
        </w:tc>
        <w:tc>
          <w:tcPr>
            <w:tcW w:w="2160" w:type="dxa"/>
            <w:tcBorders>
              <w:left w:val="nil"/>
              <w:right w:val="nil"/>
            </w:tcBorders>
            <w:tcMar>
              <w:top w:w="96" w:type="dxa"/>
              <w:left w:w="144" w:type="dxa"/>
              <w:bottom w:w="96" w:type="dxa"/>
              <w:right w:w="144" w:type="dxa"/>
            </w:tcMar>
            <w:vAlign w:val="center"/>
          </w:tcPr>
          <w:p w14:paraId="0EDC258F">
            <w:pPr>
              <w:spacing w:before="52" w:after="52" w:line="240" w:lineRule="auto"/>
              <w:jc w:val="left"/>
            </w:pPr>
            <w:r>
              <w:rPr>
                <w:sz w:val="21"/>
              </w:rPr>
              <w:t>董事长兼任总经理取 1 ，否则取 0</w:t>
            </w:r>
          </w:p>
        </w:tc>
      </w:tr>
      <w:tr w14:paraId="327F7933">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4230C548">
            <w:pPr>
              <w:spacing w:before="52" w:after="52" w:line="240" w:lineRule="auto"/>
              <w:jc w:val="left"/>
            </w:pPr>
            <w:r>
              <w:rPr>
                <w:sz w:val="21"/>
              </w:rPr>
              <w:t>控制变量</w:t>
            </w:r>
          </w:p>
        </w:tc>
        <w:tc>
          <w:tcPr>
            <w:tcW w:w="2160" w:type="dxa"/>
            <w:tcBorders>
              <w:left w:val="nil"/>
              <w:right w:val="nil"/>
            </w:tcBorders>
            <w:tcMar>
              <w:top w:w="96" w:type="dxa"/>
              <w:left w:w="144" w:type="dxa"/>
              <w:bottom w:w="96" w:type="dxa"/>
              <w:right w:w="144" w:type="dxa"/>
            </w:tcMar>
            <w:vAlign w:val="center"/>
          </w:tcPr>
          <w:p w14:paraId="63A7C5BC">
            <w:pPr>
              <w:spacing w:before="52" w:after="52" w:line="240" w:lineRule="auto"/>
              <w:jc w:val="left"/>
            </w:pPr>
            <w:r>
              <w:rPr>
                <w:sz w:val="21"/>
              </w:rPr>
              <w:t>上市年限</w:t>
            </w:r>
          </w:p>
        </w:tc>
        <w:tc>
          <w:tcPr>
            <w:tcW w:w="2160" w:type="dxa"/>
            <w:tcBorders>
              <w:left w:val="nil"/>
              <w:right w:val="nil"/>
            </w:tcBorders>
            <w:tcMar>
              <w:top w:w="96" w:type="dxa"/>
              <w:left w:w="144" w:type="dxa"/>
              <w:bottom w:w="96" w:type="dxa"/>
              <w:right w:w="144" w:type="dxa"/>
            </w:tcMar>
            <w:vAlign w:val="center"/>
          </w:tcPr>
          <w:p w14:paraId="1AE0EC6F">
            <w:pPr>
              <w:spacing w:before="52" w:after="52" w:line="240" w:lineRule="auto"/>
              <w:jc w:val="left"/>
            </w:pPr>
            <w:r>
              <w:rPr>
                <w:sz w:val="21"/>
              </w:rPr>
              <w:t>Age</w:t>
            </w:r>
          </w:p>
        </w:tc>
        <w:tc>
          <w:tcPr>
            <w:tcW w:w="2160" w:type="dxa"/>
            <w:tcBorders>
              <w:left w:val="nil"/>
              <w:right w:val="nil"/>
            </w:tcBorders>
            <w:tcMar>
              <w:top w:w="96" w:type="dxa"/>
              <w:left w:w="144" w:type="dxa"/>
              <w:bottom w:w="96" w:type="dxa"/>
              <w:right w:w="144" w:type="dxa"/>
            </w:tcMar>
            <w:vAlign w:val="center"/>
          </w:tcPr>
          <w:p w14:paraId="21198A5F">
            <w:pPr>
              <w:spacing w:before="52" w:after="52" w:line="240" w:lineRule="auto"/>
              <w:jc w:val="left"/>
            </w:pPr>
            <w:r>
              <w:rPr>
                <w:sz w:val="21"/>
              </w:rPr>
              <w:t>观测年度减去上市年度</w:t>
            </w:r>
          </w:p>
        </w:tc>
      </w:tr>
      <w:tr w14:paraId="586BA588">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2C1902E8">
            <w:pPr>
              <w:spacing w:before="52" w:after="52" w:line="240" w:lineRule="auto"/>
              <w:jc w:val="left"/>
            </w:pPr>
            <w:r>
              <w:rPr>
                <w:sz w:val="21"/>
              </w:rPr>
              <w:t>控制变量</w:t>
            </w:r>
          </w:p>
        </w:tc>
        <w:tc>
          <w:tcPr>
            <w:tcW w:w="2160" w:type="dxa"/>
            <w:tcBorders>
              <w:left w:val="nil"/>
              <w:right w:val="nil"/>
            </w:tcBorders>
            <w:tcMar>
              <w:top w:w="96" w:type="dxa"/>
              <w:left w:w="144" w:type="dxa"/>
              <w:bottom w:w="96" w:type="dxa"/>
              <w:right w:w="144" w:type="dxa"/>
            </w:tcMar>
            <w:vAlign w:val="center"/>
          </w:tcPr>
          <w:p w14:paraId="519AFA27">
            <w:pPr>
              <w:spacing w:before="52" w:after="52" w:line="240" w:lineRule="auto"/>
              <w:jc w:val="left"/>
            </w:pPr>
            <w:r>
              <w:rPr>
                <w:sz w:val="21"/>
              </w:rPr>
              <w:t>产权性质</w:t>
            </w:r>
          </w:p>
        </w:tc>
        <w:tc>
          <w:tcPr>
            <w:tcW w:w="2160" w:type="dxa"/>
            <w:tcBorders>
              <w:left w:val="nil"/>
              <w:right w:val="nil"/>
            </w:tcBorders>
            <w:tcMar>
              <w:top w:w="96" w:type="dxa"/>
              <w:left w:w="144" w:type="dxa"/>
              <w:bottom w:w="96" w:type="dxa"/>
              <w:right w:w="144" w:type="dxa"/>
            </w:tcMar>
            <w:vAlign w:val="center"/>
          </w:tcPr>
          <w:p w14:paraId="72A7C6A0">
            <w:pPr>
              <w:spacing w:before="52" w:after="52" w:line="240" w:lineRule="auto"/>
              <w:jc w:val="left"/>
            </w:pPr>
            <w:r>
              <w:rPr>
                <w:sz w:val="21"/>
              </w:rPr>
              <w:t>SOE</w:t>
            </w:r>
          </w:p>
        </w:tc>
        <w:tc>
          <w:tcPr>
            <w:tcW w:w="2160" w:type="dxa"/>
            <w:tcBorders>
              <w:left w:val="nil"/>
              <w:right w:val="nil"/>
            </w:tcBorders>
            <w:tcMar>
              <w:top w:w="96" w:type="dxa"/>
              <w:left w:w="144" w:type="dxa"/>
              <w:bottom w:w="96" w:type="dxa"/>
              <w:right w:w="144" w:type="dxa"/>
            </w:tcMar>
            <w:vAlign w:val="center"/>
          </w:tcPr>
          <w:p w14:paraId="35BC2FF0">
            <w:pPr>
              <w:spacing w:before="52" w:after="52" w:line="240" w:lineRule="auto"/>
              <w:jc w:val="left"/>
            </w:pPr>
            <w:r>
              <w:rPr>
                <w:sz w:val="21"/>
              </w:rPr>
              <w:t>国有企业取 1 ，否则取 0</w:t>
            </w:r>
          </w:p>
        </w:tc>
      </w:tr>
      <w:tr w14:paraId="646CD9D6">
        <w:tblPrEx>
          <w:tblCellMar>
            <w:top w:w="0" w:type="dxa"/>
            <w:left w:w="108" w:type="dxa"/>
            <w:bottom w:w="0" w:type="dxa"/>
            <w:right w:w="108" w:type="dxa"/>
          </w:tblCellMar>
        </w:tblPrEx>
        <w:tc>
          <w:tcPr>
            <w:tcW w:w="2160" w:type="dxa"/>
            <w:tcBorders>
              <w:left w:val="nil"/>
              <w:bottom w:val="single" w:color="000000" w:sz="12" w:space="0"/>
              <w:right w:val="nil"/>
            </w:tcBorders>
            <w:tcMar>
              <w:top w:w="96" w:type="dxa"/>
              <w:left w:w="144" w:type="dxa"/>
              <w:bottom w:w="96" w:type="dxa"/>
              <w:right w:w="144" w:type="dxa"/>
            </w:tcMar>
            <w:vAlign w:val="center"/>
          </w:tcPr>
          <w:p w14:paraId="114CE81C">
            <w:pPr>
              <w:spacing w:before="52" w:after="52" w:line="240" w:lineRule="auto"/>
              <w:jc w:val="left"/>
            </w:pPr>
            <w:r>
              <w:rPr>
                <w:sz w:val="21"/>
              </w:rPr>
              <w:t>固定效应</w:t>
            </w:r>
          </w:p>
        </w:tc>
        <w:tc>
          <w:tcPr>
            <w:tcW w:w="2160" w:type="dxa"/>
            <w:tcBorders>
              <w:left w:val="nil"/>
              <w:bottom w:val="single" w:color="000000" w:sz="12" w:space="0"/>
              <w:right w:val="nil"/>
            </w:tcBorders>
            <w:tcMar>
              <w:top w:w="96" w:type="dxa"/>
              <w:left w:w="144" w:type="dxa"/>
              <w:bottom w:w="96" w:type="dxa"/>
              <w:right w:w="144" w:type="dxa"/>
            </w:tcMar>
            <w:vAlign w:val="center"/>
          </w:tcPr>
          <w:p w14:paraId="1E95AFB0">
            <w:pPr>
              <w:spacing w:before="52" w:after="52" w:line="240" w:lineRule="auto"/>
              <w:jc w:val="left"/>
            </w:pPr>
            <w:r>
              <w:rPr>
                <w:sz w:val="21"/>
              </w:rPr>
              <w:t>年度 / 行业</w:t>
            </w:r>
          </w:p>
        </w:tc>
        <w:tc>
          <w:tcPr>
            <w:tcW w:w="2160" w:type="dxa"/>
            <w:tcBorders>
              <w:left w:val="nil"/>
              <w:bottom w:val="single" w:color="000000" w:sz="12" w:space="0"/>
              <w:right w:val="nil"/>
            </w:tcBorders>
            <w:tcMar>
              <w:top w:w="96" w:type="dxa"/>
              <w:left w:w="144" w:type="dxa"/>
              <w:bottom w:w="96" w:type="dxa"/>
              <w:right w:w="144" w:type="dxa"/>
            </w:tcMar>
            <w:vAlign w:val="center"/>
          </w:tcPr>
          <w:p w14:paraId="2327AECB">
            <w:pPr>
              <w:spacing w:before="52" w:after="52" w:line="240" w:lineRule="auto"/>
              <w:jc w:val="left"/>
            </w:pPr>
            <w:r>
              <w:rPr>
                <w:sz w:val="21"/>
              </w:rPr>
              <w:t>Year/Ind</w:t>
            </w:r>
          </w:p>
        </w:tc>
        <w:tc>
          <w:tcPr>
            <w:tcW w:w="2160" w:type="dxa"/>
            <w:tcBorders>
              <w:left w:val="nil"/>
              <w:bottom w:val="single" w:color="000000" w:sz="12" w:space="0"/>
              <w:right w:val="nil"/>
            </w:tcBorders>
            <w:tcMar>
              <w:top w:w="96" w:type="dxa"/>
              <w:left w:w="144" w:type="dxa"/>
              <w:bottom w:w="96" w:type="dxa"/>
              <w:right w:w="144" w:type="dxa"/>
            </w:tcMar>
            <w:vAlign w:val="center"/>
          </w:tcPr>
          <w:p w14:paraId="6A4C2505">
            <w:pPr>
              <w:spacing w:before="52" w:after="52" w:line="240" w:lineRule="auto"/>
              <w:jc w:val="left"/>
            </w:pPr>
            <w:r>
              <w:rPr>
                <w:sz w:val="21"/>
              </w:rPr>
              <w:t>控制年度与行业固定效应</w:t>
            </w:r>
          </w:p>
        </w:tc>
      </w:tr>
    </w:tbl>
    <w:p w14:paraId="5B3B9574">
      <w:pPr>
        <w:pStyle w:val="5"/>
      </w:pPr>
      <w:bookmarkStart w:id="23" w:name="sec-2-5"/>
      <w:bookmarkEnd w:id="23"/>
      <w:bookmarkStart w:id="24" w:name="_Toc_sec_2_5"/>
      <w:r>
        <w:rPr>
          <w:rFonts w:hint="eastAsia" w:ascii="宋体" w:hAnsi="宋体" w:eastAsia="宋体" w:cs="宋体"/>
          <w:b/>
          <w:sz w:val="24"/>
          <w:lang w:eastAsia="zh-CN"/>
        </w:rPr>
        <w:t>（五）模型设定</w:t>
      </w:r>
      <w:bookmarkEnd w:id="24"/>
    </w:p>
    <w:p w14:paraId="78DE7507">
      <w:pPr>
        <w:ind w:firstLine="480"/>
        <w:jc w:val="both"/>
      </w:pPr>
      <w:r>
        <w:rPr>
          <w:rFonts w:hint="eastAsia" w:ascii="宋体" w:hAnsi="宋体" w:eastAsia="宋体" w:cs="宋体"/>
          <w:lang w:eastAsia="zh-CN"/>
        </w:rPr>
        <w:t>为检验数字化转型对企业绩效的影响，构建如下面板回归模型：</w:t>
      </w:r>
    </w:p>
    <w:p w14:paraId="245EDE1B">
      <w:pPr>
        <w:spacing w:before="240" w:after="240"/>
        <w:ind w:firstLine="0"/>
        <w:jc w:val="center"/>
      </w:pPr>
      <w:r>
        <w:rPr>
          <w:rFonts w:ascii="Times New Roman" w:hAnsi="Times New Roman"/>
        </w:rPr>
        <w:t>ROA</w:t>
      </w:r>
      <w:r>
        <w:rPr>
          <w:rFonts w:ascii="Times New Roman" w:hAnsi="Times New Roman"/>
          <w:vertAlign w:val="subscript"/>
        </w:rPr>
        <w:t>it</w:t>
      </w:r>
      <w:r>
        <w:rPr>
          <w:rFonts w:ascii="Times New Roman" w:hAnsi="Times New Roman"/>
        </w:rPr>
        <w:t xml:space="preserve"> = α + β·DTI</w:t>
      </w:r>
      <w:r>
        <w:rPr>
          <w:rFonts w:ascii="Times New Roman" w:hAnsi="Times New Roman"/>
          <w:vertAlign w:val="subscript"/>
        </w:rPr>
        <w:t>it</w:t>
      </w:r>
      <w:r>
        <w:rPr>
          <w:rFonts w:ascii="Times New Roman" w:hAnsi="Times New Roman"/>
        </w:rPr>
        <w:t xml:space="preserve"> + γ·Controls</w:t>
      </w:r>
      <w:r>
        <w:rPr>
          <w:rFonts w:ascii="Times New Roman" w:hAnsi="Times New Roman"/>
          <w:vertAlign w:val="subscript"/>
        </w:rPr>
        <w:t>it</w:t>
      </w:r>
      <w:r>
        <w:rPr>
          <w:rFonts w:ascii="Times New Roman" w:hAnsi="Times New Roman"/>
        </w:rPr>
        <w:t xml:space="preserve"> + μ</w:t>
      </w:r>
      <w:r>
        <w:rPr>
          <w:rFonts w:ascii="Times New Roman" w:hAnsi="Times New Roman"/>
          <w:vertAlign w:val="subscript"/>
        </w:rPr>
        <w:t>i</w:t>
      </w:r>
      <w:r>
        <w:rPr>
          <w:rFonts w:ascii="Times New Roman" w:hAnsi="Times New Roman"/>
        </w:rPr>
        <w:t xml:space="preserve"> + λ</w:t>
      </w:r>
      <w:r>
        <w:rPr>
          <w:rFonts w:ascii="Times New Roman" w:hAnsi="Times New Roman"/>
          <w:vertAlign w:val="subscript"/>
        </w:rPr>
        <w:t>t</w:t>
      </w:r>
      <w:r>
        <w:rPr>
          <w:rFonts w:ascii="Times New Roman" w:hAnsi="Times New Roman"/>
        </w:rPr>
        <w:t xml:space="preserve"> + ε</w:t>
      </w:r>
      <w:r>
        <w:rPr>
          <w:rFonts w:ascii="Times New Roman" w:hAnsi="Times New Roman"/>
          <w:vertAlign w:val="subscript"/>
        </w:rPr>
        <w:t>it</w:t>
      </w:r>
      <w:r>
        <w:rPr>
          <w:rFonts w:hint="eastAsia" w:ascii="宋体" w:hAnsi="宋体" w:eastAsia="宋体" w:cs="宋体"/>
          <w:lang w:eastAsia="zh-CN"/>
        </w:rPr>
        <w:t>　　（</w:t>
      </w:r>
      <w:r>
        <w:rPr>
          <w:rFonts w:ascii="Times New Roman" w:hAnsi="Times New Roman"/>
        </w:rPr>
        <w:t>2-2</w:t>
      </w:r>
      <w:r>
        <w:rPr>
          <w:rFonts w:hint="eastAsia" w:ascii="宋体" w:hAnsi="宋体" w:eastAsia="宋体" w:cs="宋体"/>
          <w:lang w:eastAsia="zh-CN"/>
        </w:rPr>
        <w:t>）</w:t>
      </w:r>
    </w:p>
    <w:p w14:paraId="55F6A03C">
      <w:pPr>
        <w:ind w:firstLine="480"/>
        <w:jc w:val="both"/>
      </w:pPr>
      <w:r>
        <w:rPr>
          <w:rFonts w:hint="eastAsia" w:ascii="宋体" w:hAnsi="宋体" w:eastAsia="宋体" w:cs="宋体"/>
          <w:lang w:eastAsia="zh-CN"/>
        </w:rPr>
        <w:t>其中，下标</w:t>
      </w:r>
      <w:r>
        <w:t xml:space="preserve"> i </w:t>
      </w:r>
      <w:r>
        <w:rPr>
          <w:rFonts w:hint="eastAsia" w:ascii="宋体" w:hAnsi="宋体" w:eastAsia="宋体" w:cs="宋体"/>
          <w:lang w:eastAsia="zh-CN"/>
        </w:rPr>
        <w:t>表示企业、</w:t>
      </w:r>
      <w:r>
        <w:t xml:space="preserve">t </w:t>
      </w:r>
      <w:r>
        <w:rPr>
          <w:rFonts w:hint="eastAsia" w:ascii="宋体" w:hAnsi="宋体" w:eastAsia="宋体" w:cs="宋体"/>
          <w:lang w:eastAsia="zh-CN"/>
        </w:rPr>
        <w:t>表示年度；</w:t>
      </w:r>
      <w:r>
        <w:t>ROA</w:t>
      </w:r>
      <w:r>
        <w:rPr>
          <w:vertAlign w:val="subscript"/>
        </w:rPr>
        <w:t>it</w:t>
      </w:r>
      <w:r>
        <w:t xml:space="preserve"> </w:t>
      </w:r>
      <w:r>
        <w:rPr>
          <w:rFonts w:hint="eastAsia" w:ascii="宋体" w:hAnsi="宋体" w:eastAsia="宋体" w:cs="宋体"/>
          <w:lang w:eastAsia="zh-CN"/>
        </w:rPr>
        <w:t>为企业绩效；</w:t>
      </w:r>
      <w:r>
        <w:t>DTI</w:t>
      </w:r>
      <w:r>
        <w:rPr>
          <w:vertAlign w:val="subscript"/>
        </w:rPr>
        <w:t>it</w:t>
      </w:r>
      <w:r>
        <w:t xml:space="preserve"> </w:t>
      </w:r>
      <w:r>
        <w:rPr>
          <w:rFonts w:hint="eastAsia" w:ascii="宋体" w:hAnsi="宋体" w:eastAsia="宋体" w:cs="宋体"/>
          <w:lang w:eastAsia="zh-CN"/>
        </w:rPr>
        <w:t>为核心解释变量；</w:t>
      </w:r>
      <w:r>
        <w:t>Controls</w:t>
      </w:r>
      <w:r>
        <w:rPr>
          <w:vertAlign w:val="subscript"/>
        </w:rPr>
        <w:t>it</w:t>
      </w:r>
      <w:r>
        <w:t xml:space="preserve"> </w:t>
      </w:r>
      <w:r>
        <w:rPr>
          <w:rFonts w:hint="eastAsia" w:ascii="宋体" w:hAnsi="宋体" w:eastAsia="宋体" w:cs="宋体"/>
          <w:lang w:eastAsia="zh-CN"/>
        </w:rPr>
        <w:t>为表</w:t>
      </w:r>
      <w:r>
        <w:t>1</w:t>
      </w:r>
      <w:r>
        <w:rPr>
          <w:rFonts w:hint="eastAsia" w:ascii="宋体" w:hAnsi="宋体" w:eastAsia="宋体" w:cs="宋体"/>
          <w:lang w:eastAsia="zh-CN"/>
        </w:rPr>
        <w:t>中的控制变量集合；</w:t>
      </w:r>
      <w:r>
        <w:t>μ</w:t>
      </w:r>
      <w:r>
        <w:rPr>
          <w:vertAlign w:val="subscript"/>
        </w:rPr>
        <w:t>i</w:t>
      </w:r>
      <w:r>
        <w:t xml:space="preserve"> </w:t>
      </w:r>
      <w:r>
        <w:rPr>
          <w:rFonts w:hint="eastAsia" w:ascii="宋体" w:hAnsi="宋体" w:eastAsia="宋体" w:cs="宋体"/>
          <w:lang w:eastAsia="zh-CN"/>
        </w:rPr>
        <w:t>为个体固定效应，</w:t>
      </w:r>
      <w:r>
        <w:t>λ</w:t>
      </w:r>
      <w:r>
        <w:rPr>
          <w:vertAlign w:val="subscript"/>
        </w:rPr>
        <w:t>t</w:t>
      </w:r>
      <w:r>
        <w:t xml:space="preserve"> </w:t>
      </w:r>
      <w:r>
        <w:rPr>
          <w:rFonts w:hint="eastAsia" w:ascii="宋体" w:hAnsi="宋体" w:eastAsia="宋体" w:cs="宋体"/>
          <w:lang w:eastAsia="zh-CN"/>
        </w:rPr>
        <w:t>为年度固定效应，</w:t>
      </w:r>
      <w:r>
        <w:t>ε</w:t>
      </w:r>
      <w:r>
        <w:rPr>
          <w:vertAlign w:val="subscript"/>
        </w:rPr>
        <w:t>it</w:t>
      </w:r>
      <w:r>
        <w:t xml:space="preserve"> </w:t>
      </w:r>
      <w:r>
        <w:rPr>
          <w:rFonts w:hint="eastAsia" w:ascii="宋体" w:hAnsi="宋体" w:eastAsia="宋体" w:cs="宋体"/>
          <w:lang w:eastAsia="zh-CN"/>
        </w:rPr>
        <w:t>为随机扰动项。为缓解面板异方差与序列相关的影响，所有回归均采用公司层面聚类稳健标准误。预期系数</w:t>
      </w:r>
      <w:r>
        <w:t xml:space="preserve"> β </w:t>
      </w:r>
      <w:r>
        <w:rPr>
          <w:rFonts w:hint="eastAsia" w:ascii="宋体" w:hAnsi="宋体" w:eastAsia="宋体" w:cs="宋体"/>
          <w:lang w:eastAsia="zh-CN"/>
        </w:rPr>
        <w:t>显著为正，即数字化转型对企业绩效具有正向促进作用。异质性检验通过在模型中加入</w:t>
      </w:r>
      <w:r>
        <w:t>DTI</w:t>
      </w:r>
      <w:r>
        <w:rPr>
          <w:rFonts w:hint="eastAsia" w:ascii="宋体" w:hAnsi="宋体" w:eastAsia="宋体" w:cs="宋体"/>
          <w:lang w:eastAsia="zh-CN"/>
        </w:rPr>
        <w:t>与产权性质（</w:t>
      </w:r>
      <w:r>
        <w:t>SOE</w:t>
      </w:r>
      <w:r>
        <w:rPr>
          <w:rFonts w:hint="eastAsia" w:ascii="宋体" w:hAnsi="宋体" w:eastAsia="宋体" w:cs="宋体"/>
          <w:lang w:eastAsia="zh-CN"/>
        </w:rPr>
        <w:t>）、行业技术属性（</w:t>
      </w:r>
      <w:r>
        <w:t>HT</w:t>
      </w:r>
      <w:r>
        <w:rPr>
          <w:rFonts w:hint="eastAsia" w:ascii="宋体" w:hAnsi="宋体" w:eastAsia="宋体" w:cs="宋体"/>
          <w:lang w:eastAsia="zh-CN"/>
        </w:rPr>
        <w:t>）的交乘项实现。</w:t>
      </w:r>
    </w:p>
    <w:p w14:paraId="0453B230">
      <w:pPr>
        <w:pStyle w:val="4"/>
      </w:pPr>
      <w:bookmarkStart w:id="25" w:name="sec-3"/>
      <w:bookmarkEnd w:id="25"/>
      <w:bookmarkStart w:id="26" w:name="_Toc_sec_3"/>
      <w:r>
        <w:rPr>
          <w:rFonts w:hint="eastAsia" w:ascii="宋体" w:hAnsi="宋体" w:eastAsia="宋体" w:cs="宋体"/>
          <w:b/>
          <w:sz w:val="28"/>
          <w:lang w:eastAsia="zh-CN"/>
        </w:rPr>
        <w:t>三、实证分析与结果</w:t>
      </w:r>
      <w:bookmarkEnd w:id="26"/>
    </w:p>
    <w:p w14:paraId="4E94DBC8">
      <w:pPr>
        <w:spacing w:before="90" w:after="180"/>
        <w:ind w:firstLine="0"/>
        <w:jc w:val="both"/>
      </w:pPr>
      <w:r>
        <w:rPr>
          <w:rFonts w:hint="eastAsia" w:ascii="宋体" w:hAnsi="宋体" w:eastAsia="宋体" w:cs="宋体"/>
          <w:color w:val="666666"/>
          <w:sz w:val="18"/>
          <w:lang w:eastAsia="zh-CN"/>
        </w:rPr>
        <w:t>（数据说明：本章表格中的统计数值为依据已有文献报告的分布特征构造的演示数据，用于完整展示分析流程；在实际毕业论文中，本章全部结果应由第</w:t>
      </w:r>
      <w:r>
        <w:rPr>
          <w:color w:val="666666"/>
          <w:sz w:val="18"/>
        </w:rPr>
        <w:t>2</w:t>
      </w:r>
      <w:r>
        <w:rPr>
          <w:rFonts w:hint="eastAsia" w:ascii="宋体" w:hAnsi="宋体" w:eastAsia="宋体" w:cs="宋体"/>
          <w:color w:val="666666"/>
          <w:sz w:val="18"/>
          <w:lang w:eastAsia="zh-CN"/>
        </w:rPr>
        <w:t>章流水线脚本对真实数据运行生成。）</w:t>
      </w:r>
    </w:p>
    <w:p w14:paraId="2D1DDAFB">
      <w:pPr>
        <w:pStyle w:val="5"/>
      </w:pPr>
      <w:bookmarkStart w:id="27" w:name="sec-3-1"/>
      <w:bookmarkEnd w:id="27"/>
      <w:bookmarkStart w:id="28" w:name="_Toc_sec_3_1"/>
      <w:r>
        <w:rPr>
          <w:rFonts w:hint="eastAsia" w:ascii="宋体" w:hAnsi="宋体" w:eastAsia="宋体" w:cs="宋体"/>
          <w:b/>
          <w:sz w:val="24"/>
          <w:lang w:eastAsia="zh-CN"/>
        </w:rPr>
        <w:t>（一）描述性统计</w:t>
      </w:r>
      <w:bookmarkEnd w:id="28"/>
    </w:p>
    <w:p w14:paraId="314BD28E">
      <w:pPr>
        <w:ind w:firstLine="480"/>
        <w:jc w:val="both"/>
      </w:pPr>
      <w:r>
        <w:rPr>
          <w:rFonts w:hint="eastAsia" w:ascii="宋体" w:hAnsi="宋体" w:eastAsia="宋体" w:cs="宋体"/>
          <w:lang w:eastAsia="zh-CN"/>
        </w:rPr>
        <w:t>表</w:t>
      </w:r>
      <w:r>
        <w:t>2</w:t>
      </w:r>
      <w:r>
        <w:rPr>
          <w:rFonts w:hint="eastAsia" w:ascii="宋体" w:hAnsi="宋体" w:eastAsia="宋体" w:cs="宋体"/>
          <w:lang w:eastAsia="zh-CN"/>
        </w:rPr>
        <w:t>报告了主要变量的描述性统计结果。样本期内，数字化转型指数</w:t>
      </w:r>
      <w:r>
        <w:t>DTI</w:t>
      </w:r>
      <w:r>
        <w:rPr>
          <w:rFonts w:hint="eastAsia" w:ascii="宋体" w:hAnsi="宋体" w:eastAsia="宋体" w:cs="宋体"/>
          <w:lang w:eastAsia="zh-CN"/>
        </w:rPr>
        <w:t>的均值为</w:t>
      </w:r>
      <w:r>
        <w:t>1.87%</w:t>
      </w:r>
      <w:r>
        <w:rPr>
          <w:rFonts w:hint="eastAsia" w:ascii="宋体" w:hAnsi="宋体" w:eastAsia="宋体" w:cs="宋体"/>
          <w:lang w:eastAsia="zh-CN"/>
        </w:rPr>
        <w:t>，标准差为</w:t>
      </w:r>
      <w:r>
        <w:t>1.62%</w:t>
      </w:r>
      <w:r>
        <w:rPr>
          <w:rFonts w:hint="eastAsia" w:ascii="宋体" w:hAnsi="宋体" w:eastAsia="宋体" w:cs="宋体"/>
          <w:lang w:eastAsia="zh-CN"/>
        </w:rPr>
        <w:t>，最小值接近</w:t>
      </w:r>
      <w:r>
        <w:t>0</w:t>
      </w:r>
      <w:r>
        <w:rPr>
          <w:rFonts w:hint="eastAsia" w:ascii="宋体" w:hAnsi="宋体" w:eastAsia="宋体" w:cs="宋体"/>
          <w:lang w:eastAsia="zh-CN"/>
        </w:rPr>
        <w:t>，最大值达</w:t>
      </w:r>
      <w:r>
        <w:t>9.34%</w:t>
      </w:r>
      <w:r>
        <w:rPr>
          <w:rFonts w:hint="eastAsia" w:ascii="宋体" w:hAnsi="宋体" w:eastAsia="宋体" w:cs="宋体"/>
          <w:lang w:eastAsia="zh-CN"/>
        </w:rPr>
        <w:t>，表明上市公司之间的数字化投入表述强度存在显著差异；</w:t>
      </w:r>
      <w:r>
        <w:t>DTI</w:t>
      </w:r>
      <w:r>
        <w:rPr>
          <w:rFonts w:hint="eastAsia" w:ascii="宋体" w:hAnsi="宋体" w:eastAsia="宋体" w:cs="宋体"/>
          <w:lang w:eastAsia="zh-CN"/>
        </w:rPr>
        <w:t>的中位数为</w:t>
      </w:r>
      <w:r>
        <w:t>1.42%</w:t>
      </w:r>
      <w:r>
        <w:rPr>
          <w:rFonts w:hint="eastAsia" w:ascii="宋体" w:hAnsi="宋体" w:eastAsia="宋体" w:cs="宋体"/>
          <w:lang w:eastAsia="zh-CN"/>
        </w:rPr>
        <w:t>，低于均值，说明样本呈右偏分布，即少数企业数字化转型程度显著领先。企业绩效</w:t>
      </w:r>
      <w:r>
        <w:t>ROA</w:t>
      </w:r>
      <w:r>
        <w:rPr>
          <w:rFonts w:hint="eastAsia" w:ascii="宋体" w:hAnsi="宋体" w:eastAsia="宋体" w:cs="宋体"/>
          <w:lang w:eastAsia="zh-CN"/>
        </w:rPr>
        <w:t>均值为</w:t>
      </w:r>
      <w:r>
        <w:t>4.31%</w:t>
      </w:r>
      <w:r>
        <w:rPr>
          <w:rFonts w:hint="eastAsia" w:ascii="宋体" w:hAnsi="宋体" w:eastAsia="宋体" w:cs="宋体"/>
          <w:lang w:eastAsia="zh-CN"/>
        </w:rPr>
        <w:t>，标准差</w:t>
      </w:r>
      <w:r>
        <w:t>4.02%</w:t>
      </w:r>
      <w:r>
        <w:rPr>
          <w:rFonts w:hint="eastAsia" w:ascii="宋体" w:hAnsi="宋体" w:eastAsia="宋体" w:cs="宋体"/>
          <w:lang w:eastAsia="zh-CN"/>
        </w:rPr>
        <w:t>，最小值为</w:t>
      </w:r>
      <w:r>
        <w:t>-18.27%</w:t>
      </w:r>
      <w:r>
        <w:rPr>
          <w:rFonts w:hint="eastAsia" w:ascii="宋体" w:hAnsi="宋体" w:eastAsia="宋体" w:cs="宋体"/>
          <w:lang w:eastAsia="zh-CN"/>
        </w:rPr>
        <w:t>，最大值为</w:t>
      </w:r>
      <w:r>
        <w:t>21.85%</w:t>
      </w:r>
      <w:r>
        <w:rPr>
          <w:rFonts w:hint="eastAsia" w:ascii="宋体" w:hAnsi="宋体" w:eastAsia="宋体" w:cs="宋体"/>
          <w:lang w:eastAsia="zh-CN"/>
        </w:rPr>
        <w:t>，覆盖了亏损与高盈利的完整谱系。控制变量方面，企业规模均值</w:t>
      </w:r>
      <w:r>
        <w:t>22.41</w:t>
      </w:r>
      <w:r>
        <w:rPr>
          <w:rFonts w:hint="eastAsia" w:ascii="宋体" w:hAnsi="宋体" w:eastAsia="宋体" w:cs="宋体"/>
          <w:lang w:eastAsia="zh-CN"/>
        </w:rPr>
        <w:t>，资产负债率均值</w:t>
      </w:r>
      <w:r>
        <w:t>42.37%</w:t>
      </w:r>
      <w:r>
        <w:rPr>
          <w:rFonts w:hint="eastAsia" w:ascii="宋体" w:hAnsi="宋体" w:eastAsia="宋体" w:cs="宋体"/>
          <w:lang w:eastAsia="zh-CN"/>
        </w:rPr>
        <w:t>，第一大股东持股比例均值</w:t>
      </w:r>
      <w:r>
        <w:t>33.16%</w:t>
      </w:r>
      <w:r>
        <w:rPr>
          <w:rFonts w:hint="eastAsia" w:ascii="宋体" w:hAnsi="宋体" w:eastAsia="宋体" w:cs="宋体"/>
          <w:lang w:eastAsia="zh-CN"/>
        </w:rPr>
        <w:t>，与既有研究披露的</w:t>
      </w:r>
      <w:r>
        <w:t>A</w:t>
      </w:r>
      <w:r>
        <w:rPr>
          <w:rFonts w:hint="eastAsia" w:ascii="宋体" w:hAnsi="宋体" w:eastAsia="宋体" w:cs="宋体"/>
          <w:lang w:eastAsia="zh-CN"/>
        </w:rPr>
        <w:t>股公司总体特征基本一致，说明样本具有较好的代表性。</w:t>
      </w:r>
    </w:p>
    <w:tbl>
      <w:tblPr>
        <w:tblStyle w:val="32"/>
        <w:tblW w:w="5000" w:type="pct"/>
        <w:tblInd w:w="0" w:type="dxa"/>
        <w:tblLayout w:type="autofit"/>
        <w:tblCellMar>
          <w:top w:w="0" w:type="dxa"/>
          <w:left w:w="108" w:type="dxa"/>
          <w:bottom w:w="0" w:type="dxa"/>
          <w:right w:w="108" w:type="dxa"/>
        </w:tblCellMar>
      </w:tblPr>
      <w:tblGrid>
        <w:gridCol w:w="1512"/>
        <w:gridCol w:w="1512"/>
        <w:gridCol w:w="1513"/>
        <w:gridCol w:w="1513"/>
        <w:gridCol w:w="1513"/>
        <w:gridCol w:w="1513"/>
      </w:tblGrid>
      <w:tr w14:paraId="451EBDB2">
        <w:tblPrEx>
          <w:tblCellMar>
            <w:top w:w="0" w:type="dxa"/>
            <w:left w:w="108" w:type="dxa"/>
            <w:bottom w:w="0" w:type="dxa"/>
            <w:right w:w="108" w:type="dxa"/>
          </w:tblCellMar>
        </w:tblPrEx>
        <w:tc>
          <w:tcPr>
            <w:tcW w:w="1440"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0D8EF033">
            <w:pPr>
              <w:spacing w:before="52" w:after="52" w:line="240" w:lineRule="auto"/>
              <w:jc w:val="left"/>
            </w:pPr>
            <w:r>
              <w:rPr>
                <w:b/>
                <w:sz w:val="21"/>
              </w:rPr>
              <w:t>变量</w:t>
            </w:r>
          </w:p>
        </w:tc>
        <w:tc>
          <w:tcPr>
            <w:tcW w:w="1440"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2F21D4B4">
            <w:pPr>
              <w:spacing w:before="52" w:after="52" w:line="240" w:lineRule="auto"/>
              <w:jc w:val="left"/>
            </w:pPr>
            <w:r>
              <w:rPr>
                <w:b/>
                <w:sz w:val="21"/>
              </w:rPr>
              <w:t>均值</w:t>
            </w:r>
          </w:p>
        </w:tc>
        <w:tc>
          <w:tcPr>
            <w:tcW w:w="1440"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770CB16B">
            <w:pPr>
              <w:spacing w:before="52" w:after="52" w:line="240" w:lineRule="auto"/>
              <w:jc w:val="left"/>
            </w:pPr>
            <w:r>
              <w:rPr>
                <w:b/>
                <w:sz w:val="21"/>
              </w:rPr>
              <w:t>标准差</w:t>
            </w:r>
          </w:p>
        </w:tc>
        <w:tc>
          <w:tcPr>
            <w:tcW w:w="1440"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57134649">
            <w:pPr>
              <w:spacing w:before="52" w:after="52" w:line="240" w:lineRule="auto"/>
              <w:jc w:val="left"/>
            </w:pPr>
            <w:r>
              <w:rPr>
                <w:b/>
                <w:sz w:val="21"/>
              </w:rPr>
              <w:t>最小值</w:t>
            </w:r>
          </w:p>
        </w:tc>
        <w:tc>
          <w:tcPr>
            <w:tcW w:w="1440"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4A3F31AC">
            <w:pPr>
              <w:spacing w:before="52" w:after="52" w:line="240" w:lineRule="auto"/>
              <w:jc w:val="left"/>
            </w:pPr>
            <w:r>
              <w:rPr>
                <w:b/>
                <w:sz w:val="21"/>
              </w:rPr>
              <w:t>中位数</w:t>
            </w:r>
          </w:p>
        </w:tc>
        <w:tc>
          <w:tcPr>
            <w:tcW w:w="1440"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1441D274">
            <w:pPr>
              <w:spacing w:before="52" w:after="52" w:line="240" w:lineRule="auto"/>
              <w:jc w:val="left"/>
            </w:pPr>
            <w:r>
              <w:rPr>
                <w:b/>
                <w:sz w:val="21"/>
              </w:rPr>
              <w:t>最大值</w:t>
            </w:r>
          </w:p>
        </w:tc>
      </w:tr>
      <w:tr w14:paraId="13611BC1">
        <w:tblPrEx>
          <w:tblCellMar>
            <w:top w:w="0" w:type="dxa"/>
            <w:left w:w="108" w:type="dxa"/>
            <w:bottom w:w="0" w:type="dxa"/>
            <w:right w:w="108" w:type="dxa"/>
          </w:tblCellMar>
        </w:tblPrEx>
        <w:tc>
          <w:tcPr>
            <w:tcW w:w="1440" w:type="dxa"/>
            <w:tcBorders>
              <w:left w:val="nil"/>
              <w:right w:val="nil"/>
            </w:tcBorders>
            <w:tcMar>
              <w:top w:w="96" w:type="dxa"/>
              <w:left w:w="144" w:type="dxa"/>
              <w:bottom w:w="96" w:type="dxa"/>
              <w:right w:w="144" w:type="dxa"/>
            </w:tcMar>
            <w:vAlign w:val="center"/>
          </w:tcPr>
          <w:p w14:paraId="371868AB">
            <w:pPr>
              <w:spacing w:before="52" w:after="52" w:line="240" w:lineRule="auto"/>
              <w:jc w:val="left"/>
            </w:pPr>
            <w:r>
              <w:rPr>
                <w:sz w:val="21"/>
              </w:rPr>
              <w:t>ROA （ % ）</w:t>
            </w:r>
          </w:p>
        </w:tc>
        <w:tc>
          <w:tcPr>
            <w:tcW w:w="1440" w:type="dxa"/>
            <w:tcBorders>
              <w:left w:val="nil"/>
              <w:right w:val="nil"/>
            </w:tcBorders>
            <w:tcMar>
              <w:top w:w="96" w:type="dxa"/>
              <w:left w:w="144" w:type="dxa"/>
              <w:bottom w:w="96" w:type="dxa"/>
              <w:right w:w="144" w:type="dxa"/>
            </w:tcMar>
            <w:vAlign w:val="center"/>
          </w:tcPr>
          <w:p w14:paraId="0C88DCE5">
            <w:pPr>
              <w:spacing w:before="52" w:after="52" w:line="240" w:lineRule="auto"/>
              <w:jc w:val="left"/>
            </w:pPr>
            <w:r>
              <w:rPr>
                <w:sz w:val="21"/>
              </w:rPr>
              <w:t>4.31</w:t>
            </w:r>
          </w:p>
        </w:tc>
        <w:tc>
          <w:tcPr>
            <w:tcW w:w="1440" w:type="dxa"/>
            <w:tcBorders>
              <w:left w:val="nil"/>
              <w:right w:val="nil"/>
            </w:tcBorders>
            <w:tcMar>
              <w:top w:w="96" w:type="dxa"/>
              <w:left w:w="144" w:type="dxa"/>
              <w:bottom w:w="96" w:type="dxa"/>
              <w:right w:w="144" w:type="dxa"/>
            </w:tcMar>
            <w:vAlign w:val="center"/>
          </w:tcPr>
          <w:p w14:paraId="0ED0D516">
            <w:pPr>
              <w:spacing w:before="52" w:after="52" w:line="240" w:lineRule="auto"/>
              <w:jc w:val="left"/>
            </w:pPr>
            <w:r>
              <w:rPr>
                <w:sz w:val="21"/>
              </w:rPr>
              <w:t>4.02</w:t>
            </w:r>
          </w:p>
        </w:tc>
        <w:tc>
          <w:tcPr>
            <w:tcW w:w="1440" w:type="dxa"/>
            <w:tcBorders>
              <w:left w:val="nil"/>
              <w:right w:val="nil"/>
            </w:tcBorders>
            <w:tcMar>
              <w:top w:w="96" w:type="dxa"/>
              <w:left w:w="144" w:type="dxa"/>
              <w:bottom w:w="96" w:type="dxa"/>
              <w:right w:w="144" w:type="dxa"/>
            </w:tcMar>
            <w:vAlign w:val="center"/>
          </w:tcPr>
          <w:p w14:paraId="4CB7E531">
            <w:pPr>
              <w:spacing w:before="52" w:after="52" w:line="240" w:lineRule="auto"/>
              <w:jc w:val="left"/>
            </w:pPr>
            <w:r>
              <w:rPr>
                <w:sz w:val="21"/>
              </w:rPr>
              <w:t>-18.27</w:t>
            </w:r>
          </w:p>
        </w:tc>
        <w:tc>
          <w:tcPr>
            <w:tcW w:w="1440" w:type="dxa"/>
            <w:tcBorders>
              <w:left w:val="nil"/>
              <w:right w:val="nil"/>
            </w:tcBorders>
            <w:tcMar>
              <w:top w:w="96" w:type="dxa"/>
              <w:left w:w="144" w:type="dxa"/>
              <w:bottom w:w="96" w:type="dxa"/>
              <w:right w:w="144" w:type="dxa"/>
            </w:tcMar>
            <w:vAlign w:val="center"/>
          </w:tcPr>
          <w:p w14:paraId="70CD01F8">
            <w:pPr>
              <w:spacing w:before="52" w:after="52" w:line="240" w:lineRule="auto"/>
              <w:jc w:val="left"/>
            </w:pPr>
            <w:r>
              <w:rPr>
                <w:sz w:val="21"/>
              </w:rPr>
              <w:t>4.02</w:t>
            </w:r>
          </w:p>
        </w:tc>
        <w:tc>
          <w:tcPr>
            <w:tcW w:w="1440" w:type="dxa"/>
            <w:tcBorders>
              <w:left w:val="nil"/>
              <w:right w:val="nil"/>
            </w:tcBorders>
            <w:tcMar>
              <w:top w:w="96" w:type="dxa"/>
              <w:left w:w="144" w:type="dxa"/>
              <w:bottom w:w="96" w:type="dxa"/>
              <w:right w:w="144" w:type="dxa"/>
            </w:tcMar>
            <w:vAlign w:val="center"/>
          </w:tcPr>
          <w:p w14:paraId="2915CF19">
            <w:pPr>
              <w:spacing w:before="52" w:after="52" w:line="240" w:lineRule="auto"/>
              <w:jc w:val="left"/>
            </w:pPr>
            <w:r>
              <w:rPr>
                <w:sz w:val="21"/>
              </w:rPr>
              <w:t>21.85</w:t>
            </w:r>
          </w:p>
        </w:tc>
      </w:tr>
      <w:tr w14:paraId="1AEE3144">
        <w:tblPrEx>
          <w:tblCellMar>
            <w:top w:w="0" w:type="dxa"/>
            <w:left w:w="108" w:type="dxa"/>
            <w:bottom w:w="0" w:type="dxa"/>
            <w:right w:w="108" w:type="dxa"/>
          </w:tblCellMar>
        </w:tblPrEx>
        <w:tc>
          <w:tcPr>
            <w:tcW w:w="1440" w:type="dxa"/>
            <w:tcBorders>
              <w:left w:val="nil"/>
              <w:right w:val="nil"/>
            </w:tcBorders>
            <w:tcMar>
              <w:top w:w="96" w:type="dxa"/>
              <w:left w:w="144" w:type="dxa"/>
              <w:bottom w:w="96" w:type="dxa"/>
              <w:right w:w="144" w:type="dxa"/>
            </w:tcMar>
            <w:vAlign w:val="center"/>
          </w:tcPr>
          <w:p w14:paraId="7979AE14">
            <w:pPr>
              <w:spacing w:before="52" w:after="52" w:line="240" w:lineRule="auto"/>
              <w:jc w:val="left"/>
            </w:pPr>
            <w:r>
              <w:rPr>
                <w:sz w:val="21"/>
              </w:rPr>
              <w:t>DTI （ % ）</w:t>
            </w:r>
          </w:p>
        </w:tc>
        <w:tc>
          <w:tcPr>
            <w:tcW w:w="1440" w:type="dxa"/>
            <w:tcBorders>
              <w:left w:val="nil"/>
              <w:right w:val="nil"/>
            </w:tcBorders>
            <w:tcMar>
              <w:top w:w="96" w:type="dxa"/>
              <w:left w:w="144" w:type="dxa"/>
              <w:bottom w:w="96" w:type="dxa"/>
              <w:right w:w="144" w:type="dxa"/>
            </w:tcMar>
            <w:vAlign w:val="center"/>
          </w:tcPr>
          <w:p w14:paraId="398971D2">
            <w:pPr>
              <w:spacing w:before="52" w:after="52" w:line="240" w:lineRule="auto"/>
              <w:jc w:val="left"/>
            </w:pPr>
            <w:r>
              <w:rPr>
                <w:sz w:val="21"/>
              </w:rPr>
              <w:t>1.87</w:t>
            </w:r>
          </w:p>
        </w:tc>
        <w:tc>
          <w:tcPr>
            <w:tcW w:w="1440" w:type="dxa"/>
            <w:tcBorders>
              <w:left w:val="nil"/>
              <w:right w:val="nil"/>
            </w:tcBorders>
            <w:tcMar>
              <w:top w:w="96" w:type="dxa"/>
              <w:left w:w="144" w:type="dxa"/>
              <w:bottom w:w="96" w:type="dxa"/>
              <w:right w:w="144" w:type="dxa"/>
            </w:tcMar>
            <w:vAlign w:val="center"/>
          </w:tcPr>
          <w:p w14:paraId="307A26F8">
            <w:pPr>
              <w:spacing w:before="52" w:after="52" w:line="240" w:lineRule="auto"/>
              <w:jc w:val="left"/>
            </w:pPr>
            <w:r>
              <w:rPr>
                <w:sz w:val="21"/>
              </w:rPr>
              <w:t>1.62</w:t>
            </w:r>
          </w:p>
        </w:tc>
        <w:tc>
          <w:tcPr>
            <w:tcW w:w="1440" w:type="dxa"/>
            <w:tcBorders>
              <w:left w:val="nil"/>
              <w:right w:val="nil"/>
            </w:tcBorders>
            <w:tcMar>
              <w:top w:w="96" w:type="dxa"/>
              <w:left w:w="144" w:type="dxa"/>
              <w:bottom w:w="96" w:type="dxa"/>
              <w:right w:w="144" w:type="dxa"/>
            </w:tcMar>
            <w:vAlign w:val="center"/>
          </w:tcPr>
          <w:p w14:paraId="01133914">
            <w:pPr>
              <w:spacing w:before="52" w:after="52" w:line="240" w:lineRule="auto"/>
              <w:jc w:val="left"/>
            </w:pPr>
            <w:r>
              <w:rPr>
                <w:sz w:val="21"/>
              </w:rPr>
              <w:t>0.00</w:t>
            </w:r>
          </w:p>
        </w:tc>
        <w:tc>
          <w:tcPr>
            <w:tcW w:w="1440" w:type="dxa"/>
            <w:tcBorders>
              <w:left w:val="nil"/>
              <w:right w:val="nil"/>
            </w:tcBorders>
            <w:tcMar>
              <w:top w:w="96" w:type="dxa"/>
              <w:left w:w="144" w:type="dxa"/>
              <w:bottom w:w="96" w:type="dxa"/>
              <w:right w:w="144" w:type="dxa"/>
            </w:tcMar>
            <w:vAlign w:val="center"/>
          </w:tcPr>
          <w:p w14:paraId="66E79718">
            <w:pPr>
              <w:spacing w:before="52" w:after="52" w:line="240" w:lineRule="auto"/>
              <w:jc w:val="left"/>
            </w:pPr>
            <w:r>
              <w:rPr>
                <w:sz w:val="21"/>
              </w:rPr>
              <w:t>1.42</w:t>
            </w:r>
          </w:p>
        </w:tc>
        <w:tc>
          <w:tcPr>
            <w:tcW w:w="1440" w:type="dxa"/>
            <w:tcBorders>
              <w:left w:val="nil"/>
              <w:right w:val="nil"/>
            </w:tcBorders>
            <w:tcMar>
              <w:top w:w="96" w:type="dxa"/>
              <w:left w:w="144" w:type="dxa"/>
              <w:bottom w:w="96" w:type="dxa"/>
              <w:right w:w="144" w:type="dxa"/>
            </w:tcMar>
            <w:vAlign w:val="center"/>
          </w:tcPr>
          <w:p w14:paraId="191C7703">
            <w:pPr>
              <w:spacing w:before="52" w:after="52" w:line="240" w:lineRule="auto"/>
              <w:jc w:val="left"/>
            </w:pPr>
            <w:r>
              <w:rPr>
                <w:sz w:val="21"/>
              </w:rPr>
              <w:t>9.34</w:t>
            </w:r>
          </w:p>
        </w:tc>
      </w:tr>
      <w:tr w14:paraId="7546B444">
        <w:tblPrEx>
          <w:tblCellMar>
            <w:top w:w="0" w:type="dxa"/>
            <w:left w:w="108" w:type="dxa"/>
            <w:bottom w:w="0" w:type="dxa"/>
            <w:right w:w="108" w:type="dxa"/>
          </w:tblCellMar>
        </w:tblPrEx>
        <w:tc>
          <w:tcPr>
            <w:tcW w:w="1440" w:type="dxa"/>
            <w:tcBorders>
              <w:left w:val="nil"/>
              <w:right w:val="nil"/>
            </w:tcBorders>
            <w:tcMar>
              <w:top w:w="96" w:type="dxa"/>
              <w:left w:w="144" w:type="dxa"/>
              <w:bottom w:w="96" w:type="dxa"/>
              <w:right w:w="144" w:type="dxa"/>
            </w:tcMar>
            <w:vAlign w:val="center"/>
          </w:tcPr>
          <w:p w14:paraId="27EBF81A">
            <w:pPr>
              <w:spacing w:before="52" w:after="52" w:line="240" w:lineRule="auto"/>
              <w:jc w:val="left"/>
            </w:pPr>
            <w:r>
              <w:rPr>
                <w:sz w:val="21"/>
              </w:rPr>
              <w:t>Size</w:t>
            </w:r>
          </w:p>
        </w:tc>
        <w:tc>
          <w:tcPr>
            <w:tcW w:w="1440" w:type="dxa"/>
            <w:tcBorders>
              <w:left w:val="nil"/>
              <w:right w:val="nil"/>
            </w:tcBorders>
            <w:tcMar>
              <w:top w:w="96" w:type="dxa"/>
              <w:left w:w="144" w:type="dxa"/>
              <w:bottom w:w="96" w:type="dxa"/>
              <w:right w:w="144" w:type="dxa"/>
            </w:tcMar>
            <w:vAlign w:val="center"/>
          </w:tcPr>
          <w:p w14:paraId="0A3F6DB6">
            <w:pPr>
              <w:spacing w:before="52" w:after="52" w:line="240" w:lineRule="auto"/>
              <w:jc w:val="left"/>
            </w:pPr>
            <w:r>
              <w:rPr>
                <w:sz w:val="21"/>
              </w:rPr>
              <w:t>22.41</w:t>
            </w:r>
          </w:p>
        </w:tc>
        <w:tc>
          <w:tcPr>
            <w:tcW w:w="1440" w:type="dxa"/>
            <w:tcBorders>
              <w:left w:val="nil"/>
              <w:right w:val="nil"/>
            </w:tcBorders>
            <w:tcMar>
              <w:top w:w="96" w:type="dxa"/>
              <w:left w:w="144" w:type="dxa"/>
              <w:bottom w:w="96" w:type="dxa"/>
              <w:right w:w="144" w:type="dxa"/>
            </w:tcMar>
            <w:vAlign w:val="center"/>
          </w:tcPr>
          <w:p w14:paraId="558038DA">
            <w:pPr>
              <w:spacing w:before="52" w:after="52" w:line="240" w:lineRule="auto"/>
              <w:jc w:val="left"/>
            </w:pPr>
            <w:r>
              <w:rPr>
                <w:sz w:val="21"/>
              </w:rPr>
              <w:t>1.28</w:t>
            </w:r>
          </w:p>
        </w:tc>
        <w:tc>
          <w:tcPr>
            <w:tcW w:w="1440" w:type="dxa"/>
            <w:tcBorders>
              <w:left w:val="nil"/>
              <w:right w:val="nil"/>
            </w:tcBorders>
            <w:tcMar>
              <w:top w:w="96" w:type="dxa"/>
              <w:left w:w="144" w:type="dxa"/>
              <w:bottom w:w="96" w:type="dxa"/>
              <w:right w:w="144" w:type="dxa"/>
            </w:tcMar>
            <w:vAlign w:val="center"/>
          </w:tcPr>
          <w:p w14:paraId="160A3BDA">
            <w:pPr>
              <w:spacing w:before="52" w:after="52" w:line="240" w:lineRule="auto"/>
              <w:jc w:val="left"/>
            </w:pPr>
            <w:r>
              <w:rPr>
                <w:sz w:val="21"/>
              </w:rPr>
              <w:t>19.73</w:t>
            </w:r>
          </w:p>
        </w:tc>
        <w:tc>
          <w:tcPr>
            <w:tcW w:w="1440" w:type="dxa"/>
            <w:tcBorders>
              <w:left w:val="nil"/>
              <w:right w:val="nil"/>
            </w:tcBorders>
            <w:tcMar>
              <w:top w:w="96" w:type="dxa"/>
              <w:left w:w="144" w:type="dxa"/>
              <w:bottom w:w="96" w:type="dxa"/>
              <w:right w:w="144" w:type="dxa"/>
            </w:tcMar>
            <w:vAlign w:val="center"/>
          </w:tcPr>
          <w:p w14:paraId="36AAD6D2">
            <w:pPr>
              <w:spacing w:before="52" w:after="52" w:line="240" w:lineRule="auto"/>
              <w:jc w:val="left"/>
            </w:pPr>
            <w:r>
              <w:rPr>
                <w:sz w:val="21"/>
              </w:rPr>
              <w:t>22.26</w:t>
            </w:r>
          </w:p>
        </w:tc>
        <w:tc>
          <w:tcPr>
            <w:tcW w:w="1440" w:type="dxa"/>
            <w:tcBorders>
              <w:left w:val="nil"/>
              <w:right w:val="nil"/>
            </w:tcBorders>
            <w:tcMar>
              <w:top w:w="96" w:type="dxa"/>
              <w:left w:w="144" w:type="dxa"/>
              <w:bottom w:w="96" w:type="dxa"/>
              <w:right w:w="144" w:type="dxa"/>
            </w:tcMar>
            <w:vAlign w:val="center"/>
          </w:tcPr>
          <w:p w14:paraId="53EC5E3D">
            <w:pPr>
              <w:spacing w:before="52" w:after="52" w:line="240" w:lineRule="auto"/>
              <w:jc w:val="left"/>
            </w:pPr>
            <w:r>
              <w:rPr>
                <w:sz w:val="21"/>
              </w:rPr>
              <w:t>26.14</w:t>
            </w:r>
          </w:p>
        </w:tc>
      </w:tr>
      <w:tr w14:paraId="2CDCDF12">
        <w:tblPrEx>
          <w:tblCellMar>
            <w:top w:w="0" w:type="dxa"/>
            <w:left w:w="108" w:type="dxa"/>
            <w:bottom w:w="0" w:type="dxa"/>
            <w:right w:w="108" w:type="dxa"/>
          </w:tblCellMar>
        </w:tblPrEx>
        <w:tc>
          <w:tcPr>
            <w:tcW w:w="1440" w:type="dxa"/>
            <w:tcBorders>
              <w:left w:val="nil"/>
              <w:right w:val="nil"/>
            </w:tcBorders>
            <w:tcMar>
              <w:top w:w="96" w:type="dxa"/>
              <w:left w:w="144" w:type="dxa"/>
              <w:bottom w:w="96" w:type="dxa"/>
              <w:right w:w="144" w:type="dxa"/>
            </w:tcMar>
            <w:vAlign w:val="center"/>
          </w:tcPr>
          <w:p w14:paraId="12F94536">
            <w:pPr>
              <w:spacing w:before="52" w:after="52" w:line="240" w:lineRule="auto"/>
              <w:jc w:val="left"/>
            </w:pPr>
            <w:r>
              <w:rPr>
                <w:sz w:val="21"/>
              </w:rPr>
              <w:t>Lev （ % ）</w:t>
            </w:r>
          </w:p>
        </w:tc>
        <w:tc>
          <w:tcPr>
            <w:tcW w:w="1440" w:type="dxa"/>
            <w:tcBorders>
              <w:left w:val="nil"/>
              <w:right w:val="nil"/>
            </w:tcBorders>
            <w:tcMar>
              <w:top w:w="96" w:type="dxa"/>
              <w:left w:w="144" w:type="dxa"/>
              <w:bottom w:w="96" w:type="dxa"/>
              <w:right w:w="144" w:type="dxa"/>
            </w:tcMar>
            <w:vAlign w:val="center"/>
          </w:tcPr>
          <w:p w14:paraId="44EEEBC5">
            <w:pPr>
              <w:spacing w:before="52" w:after="52" w:line="240" w:lineRule="auto"/>
              <w:jc w:val="left"/>
            </w:pPr>
            <w:r>
              <w:rPr>
                <w:sz w:val="21"/>
              </w:rPr>
              <w:t>42.37</w:t>
            </w:r>
          </w:p>
        </w:tc>
        <w:tc>
          <w:tcPr>
            <w:tcW w:w="1440" w:type="dxa"/>
            <w:tcBorders>
              <w:left w:val="nil"/>
              <w:right w:val="nil"/>
            </w:tcBorders>
            <w:tcMar>
              <w:top w:w="96" w:type="dxa"/>
              <w:left w:w="144" w:type="dxa"/>
              <w:bottom w:w="96" w:type="dxa"/>
              <w:right w:w="144" w:type="dxa"/>
            </w:tcMar>
            <w:vAlign w:val="center"/>
          </w:tcPr>
          <w:p w14:paraId="39BD1D95">
            <w:pPr>
              <w:spacing w:before="52" w:after="52" w:line="240" w:lineRule="auto"/>
              <w:jc w:val="left"/>
            </w:pPr>
            <w:r>
              <w:rPr>
                <w:sz w:val="21"/>
              </w:rPr>
              <w:t>18.95</w:t>
            </w:r>
          </w:p>
        </w:tc>
        <w:tc>
          <w:tcPr>
            <w:tcW w:w="1440" w:type="dxa"/>
            <w:tcBorders>
              <w:left w:val="nil"/>
              <w:right w:val="nil"/>
            </w:tcBorders>
            <w:tcMar>
              <w:top w:w="96" w:type="dxa"/>
              <w:left w:w="144" w:type="dxa"/>
              <w:bottom w:w="96" w:type="dxa"/>
              <w:right w:w="144" w:type="dxa"/>
            </w:tcMar>
            <w:vAlign w:val="center"/>
          </w:tcPr>
          <w:p w14:paraId="694288F1">
            <w:pPr>
              <w:spacing w:before="52" w:after="52" w:line="240" w:lineRule="auto"/>
              <w:jc w:val="left"/>
            </w:pPr>
            <w:r>
              <w:rPr>
                <w:sz w:val="21"/>
              </w:rPr>
              <w:t>5.62</w:t>
            </w:r>
          </w:p>
        </w:tc>
        <w:tc>
          <w:tcPr>
            <w:tcW w:w="1440" w:type="dxa"/>
            <w:tcBorders>
              <w:left w:val="nil"/>
              <w:right w:val="nil"/>
            </w:tcBorders>
            <w:tcMar>
              <w:top w:w="96" w:type="dxa"/>
              <w:left w:w="144" w:type="dxa"/>
              <w:bottom w:w="96" w:type="dxa"/>
              <w:right w:w="144" w:type="dxa"/>
            </w:tcMar>
            <w:vAlign w:val="center"/>
          </w:tcPr>
          <w:p w14:paraId="33B2AF61">
            <w:pPr>
              <w:spacing w:before="52" w:after="52" w:line="240" w:lineRule="auto"/>
              <w:jc w:val="left"/>
            </w:pPr>
            <w:r>
              <w:rPr>
                <w:sz w:val="21"/>
              </w:rPr>
              <w:t>41.26</w:t>
            </w:r>
          </w:p>
        </w:tc>
        <w:tc>
          <w:tcPr>
            <w:tcW w:w="1440" w:type="dxa"/>
            <w:tcBorders>
              <w:left w:val="nil"/>
              <w:right w:val="nil"/>
            </w:tcBorders>
            <w:tcMar>
              <w:top w:w="96" w:type="dxa"/>
              <w:left w:w="144" w:type="dxa"/>
              <w:bottom w:w="96" w:type="dxa"/>
              <w:right w:w="144" w:type="dxa"/>
            </w:tcMar>
            <w:vAlign w:val="center"/>
          </w:tcPr>
          <w:p w14:paraId="3FB0E235">
            <w:pPr>
              <w:spacing w:before="52" w:after="52" w:line="240" w:lineRule="auto"/>
              <w:jc w:val="left"/>
            </w:pPr>
            <w:r>
              <w:rPr>
                <w:sz w:val="21"/>
              </w:rPr>
              <w:t>89.41</w:t>
            </w:r>
          </w:p>
        </w:tc>
      </w:tr>
      <w:tr w14:paraId="06AACC0A">
        <w:tblPrEx>
          <w:tblCellMar>
            <w:top w:w="0" w:type="dxa"/>
            <w:left w:w="108" w:type="dxa"/>
            <w:bottom w:w="0" w:type="dxa"/>
            <w:right w:w="108" w:type="dxa"/>
          </w:tblCellMar>
        </w:tblPrEx>
        <w:tc>
          <w:tcPr>
            <w:tcW w:w="1440" w:type="dxa"/>
            <w:tcBorders>
              <w:left w:val="nil"/>
              <w:right w:val="nil"/>
            </w:tcBorders>
            <w:tcMar>
              <w:top w:w="96" w:type="dxa"/>
              <w:left w:w="144" w:type="dxa"/>
              <w:bottom w:w="96" w:type="dxa"/>
              <w:right w:w="144" w:type="dxa"/>
            </w:tcMar>
            <w:vAlign w:val="center"/>
          </w:tcPr>
          <w:p w14:paraId="7FB7807E">
            <w:pPr>
              <w:spacing w:before="52" w:after="52" w:line="240" w:lineRule="auto"/>
              <w:jc w:val="left"/>
            </w:pPr>
            <w:r>
              <w:rPr>
                <w:sz w:val="21"/>
              </w:rPr>
              <w:t>Growth （ % ）</w:t>
            </w:r>
          </w:p>
        </w:tc>
        <w:tc>
          <w:tcPr>
            <w:tcW w:w="1440" w:type="dxa"/>
            <w:tcBorders>
              <w:left w:val="nil"/>
              <w:right w:val="nil"/>
            </w:tcBorders>
            <w:tcMar>
              <w:top w:w="96" w:type="dxa"/>
              <w:left w:w="144" w:type="dxa"/>
              <w:bottom w:w="96" w:type="dxa"/>
              <w:right w:w="144" w:type="dxa"/>
            </w:tcMar>
            <w:vAlign w:val="center"/>
          </w:tcPr>
          <w:p w14:paraId="0E673B55">
            <w:pPr>
              <w:spacing w:before="52" w:after="52" w:line="240" w:lineRule="auto"/>
              <w:jc w:val="left"/>
            </w:pPr>
            <w:r>
              <w:rPr>
                <w:sz w:val="21"/>
              </w:rPr>
              <w:t>12.54</w:t>
            </w:r>
          </w:p>
        </w:tc>
        <w:tc>
          <w:tcPr>
            <w:tcW w:w="1440" w:type="dxa"/>
            <w:tcBorders>
              <w:left w:val="nil"/>
              <w:right w:val="nil"/>
            </w:tcBorders>
            <w:tcMar>
              <w:top w:w="96" w:type="dxa"/>
              <w:left w:w="144" w:type="dxa"/>
              <w:bottom w:w="96" w:type="dxa"/>
              <w:right w:w="144" w:type="dxa"/>
            </w:tcMar>
            <w:vAlign w:val="center"/>
          </w:tcPr>
          <w:p w14:paraId="62DEDE9A">
            <w:pPr>
              <w:spacing w:before="52" w:after="52" w:line="240" w:lineRule="auto"/>
              <w:jc w:val="left"/>
            </w:pPr>
            <w:r>
              <w:rPr>
                <w:sz w:val="21"/>
              </w:rPr>
              <w:t>28.31</w:t>
            </w:r>
          </w:p>
        </w:tc>
        <w:tc>
          <w:tcPr>
            <w:tcW w:w="1440" w:type="dxa"/>
            <w:tcBorders>
              <w:left w:val="nil"/>
              <w:right w:val="nil"/>
            </w:tcBorders>
            <w:tcMar>
              <w:top w:w="96" w:type="dxa"/>
              <w:left w:w="144" w:type="dxa"/>
              <w:bottom w:w="96" w:type="dxa"/>
              <w:right w:w="144" w:type="dxa"/>
            </w:tcMar>
            <w:vAlign w:val="center"/>
          </w:tcPr>
          <w:p w14:paraId="5AF971F5">
            <w:pPr>
              <w:spacing w:before="52" w:after="52" w:line="240" w:lineRule="auto"/>
              <w:jc w:val="left"/>
            </w:pPr>
            <w:r>
              <w:rPr>
                <w:sz w:val="21"/>
              </w:rPr>
              <w:t>-51.36</w:t>
            </w:r>
          </w:p>
        </w:tc>
        <w:tc>
          <w:tcPr>
            <w:tcW w:w="1440" w:type="dxa"/>
            <w:tcBorders>
              <w:left w:val="nil"/>
              <w:right w:val="nil"/>
            </w:tcBorders>
            <w:tcMar>
              <w:top w:w="96" w:type="dxa"/>
              <w:left w:w="144" w:type="dxa"/>
              <w:bottom w:w="96" w:type="dxa"/>
              <w:right w:w="144" w:type="dxa"/>
            </w:tcMar>
            <w:vAlign w:val="center"/>
          </w:tcPr>
          <w:p w14:paraId="1C3D518E">
            <w:pPr>
              <w:spacing w:before="52" w:after="52" w:line="240" w:lineRule="auto"/>
              <w:jc w:val="left"/>
            </w:pPr>
            <w:r>
              <w:rPr>
                <w:sz w:val="21"/>
              </w:rPr>
              <w:t>9.21</w:t>
            </w:r>
          </w:p>
        </w:tc>
        <w:tc>
          <w:tcPr>
            <w:tcW w:w="1440" w:type="dxa"/>
            <w:tcBorders>
              <w:left w:val="nil"/>
              <w:right w:val="nil"/>
            </w:tcBorders>
            <w:tcMar>
              <w:top w:w="96" w:type="dxa"/>
              <w:left w:w="144" w:type="dxa"/>
              <w:bottom w:w="96" w:type="dxa"/>
              <w:right w:w="144" w:type="dxa"/>
            </w:tcMar>
            <w:vAlign w:val="center"/>
          </w:tcPr>
          <w:p w14:paraId="5E9F37E3">
            <w:pPr>
              <w:spacing w:before="52" w:after="52" w:line="240" w:lineRule="auto"/>
              <w:jc w:val="left"/>
            </w:pPr>
            <w:r>
              <w:rPr>
                <w:sz w:val="21"/>
              </w:rPr>
              <w:t>186.42</w:t>
            </w:r>
          </w:p>
        </w:tc>
      </w:tr>
      <w:tr w14:paraId="53743DBF">
        <w:tblPrEx>
          <w:tblCellMar>
            <w:top w:w="0" w:type="dxa"/>
            <w:left w:w="108" w:type="dxa"/>
            <w:bottom w:w="0" w:type="dxa"/>
            <w:right w:w="108" w:type="dxa"/>
          </w:tblCellMar>
        </w:tblPrEx>
        <w:tc>
          <w:tcPr>
            <w:tcW w:w="1440" w:type="dxa"/>
            <w:tcBorders>
              <w:left w:val="nil"/>
              <w:right w:val="nil"/>
            </w:tcBorders>
            <w:tcMar>
              <w:top w:w="96" w:type="dxa"/>
              <w:left w:w="144" w:type="dxa"/>
              <w:bottom w:w="96" w:type="dxa"/>
              <w:right w:w="144" w:type="dxa"/>
            </w:tcMar>
            <w:vAlign w:val="center"/>
          </w:tcPr>
          <w:p w14:paraId="5CEF7149">
            <w:pPr>
              <w:spacing w:before="52" w:after="52" w:line="240" w:lineRule="auto"/>
              <w:jc w:val="left"/>
            </w:pPr>
            <w:r>
              <w:rPr>
                <w:sz w:val="21"/>
              </w:rPr>
              <w:t>Top1 （ % ）</w:t>
            </w:r>
          </w:p>
        </w:tc>
        <w:tc>
          <w:tcPr>
            <w:tcW w:w="1440" w:type="dxa"/>
            <w:tcBorders>
              <w:left w:val="nil"/>
              <w:right w:val="nil"/>
            </w:tcBorders>
            <w:tcMar>
              <w:top w:w="96" w:type="dxa"/>
              <w:left w:w="144" w:type="dxa"/>
              <w:bottom w:w="96" w:type="dxa"/>
              <w:right w:w="144" w:type="dxa"/>
            </w:tcMar>
            <w:vAlign w:val="center"/>
          </w:tcPr>
          <w:p w14:paraId="7377F3CF">
            <w:pPr>
              <w:spacing w:before="52" w:after="52" w:line="240" w:lineRule="auto"/>
              <w:jc w:val="left"/>
            </w:pPr>
            <w:r>
              <w:rPr>
                <w:sz w:val="21"/>
              </w:rPr>
              <w:t>33.16</w:t>
            </w:r>
          </w:p>
        </w:tc>
        <w:tc>
          <w:tcPr>
            <w:tcW w:w="1440" w:type="dxa"/>
            <w:tcBorders>
              <w:left w:val="nil"/>
              <w:right w:val="nil"/>
            </w:tcBorders>
            <w:tcMar>
              <w:top w:w="96" w:type="dxa"/>
              <w:left w:w="144" w:type="dxa"/>
              <w:bottom w:w="96" w:type="dxa"/>
              <w:right w:w="144" w:type="dxa"/>
            </w:tcMar>
            <w:vAlign w:val="center"/>
          </w:tcPr>
          <w:p w14:paraId="5C6D6FEE">
            <w:pPr>
              <w:spacing w:before="52" w:after="52" w:line="240" w:lineRule="auto"/>
              <w:jc w:val="left"/>
            </w:pPr>
            <w:r>
              <w:rPr>
                <w:sz w:val="21"/>
              </w:rPr>
              <w:t>14.02</w:t>
            </w:r>
          </w:p>
        </w:tc>
        <w:tc>
          <w:tcPr>
            <w:tcW w:w="1440" w:type="dxa"/>
            <w:tcBorders>
              <w:left w:val="nil"/>
              <w:right w:val="nil"/>
            </w:tcBorders>
            <w:tcMar>
              <w:top w:w="96" w:type="dxa"/>
              <w:left w:w="144" w:type="dxa"/>
              <w:bottom w:w="96" w:type="dxa"/>
              <w:right w:w="144" w:type="dxa"/>
            </w:tcMar>
            <w:vAlign w:val="center"/>
          </w:tcPr>
          <w:p w14:paraId="4C385046">
            <w:pPr>
              <w:spacing w:before="52" w:after="52" w:line="240" w:lineRule="auto"/>
              <w:jc w:val="left"/>
            </w:pPr>
            <w:r>
              <w:rPr>
                <w:sz w:val="21"/>
              </w:rPr>
              <w:t>8.75</w:t>
            </w:r>
          </w:p>
        </w:tc>
        <w:tc>
          <w:tcPr>
            <w:tcW w:w="1440" w:type="dxa"/>
            <w:tcBorders>
              <w:left w:val="nil"/>
              <w:right w:val="nil"/>
            </w:tcBorders>
            <w:tcMar>
              <w:top w:w="96" w:type="dxa"/>
              <w:left w:w="144" w:type="dxa"/>
              <w:bottom w:w="96" w:type="dxa"/>
              <w:right w:w="144" w:type="dxa"/>
            </w:tcMar>
            <w:vAlign w:val="center"/>
          </w:tcPr>
          <w:p w14:paraId="4F537A9B">
            <w:pPr>
              <w:spacing w:before="52" w:after="52" w:line="240" w:lineRule="auto"/>
              <w:jc w:val="left"/>
            </w:pPr>
            <w:r>
              <w:rPr>
                <w:sz w:val="21"/>
              </w:rPr>
              <w:t>31.24</w:t>
            </w:r>
          </w:p>
        </w:tc>
        <w:tc>
          <w:tcPr>
            <w:tcW w:w="1440" w:type="dxa"/>
            <w:tcBorders>
              <w:left w:val="nil"/>
              <w:right w:val="nil"/>
            </w:tcBorders>
            <w:tcMar>
              <w:top w:w="96" w:type="dxa"/>
              <w:left w:w="144" w:type="dxa"/>
              <w:bottom w:w="96" w:type="dxa"/>
              <w:right w:w="144" w:type="dxa"/>
            </w:tcMar>
            <w:vAlign w:val="center"/>
          </w:tcPr>
          <w:p w14:paraId="53BDDC9D">
            <w:pPr>
              <w:spacing w:before="52" w:after="52" w:line="240" w:lineRule="auto"/>
              <w:jc w:val="left"/>
            </w:pPr>
            <w:r>
              <w:rPr>
                <w:sz w:val="21"/>
              </w:rPr>
              <w:t>73.86</w:t>
            </w:r>
          </w:p>
        </w:tc>
      </w:tr>
      <w:tr w14:paraId="1903305F">
        <w:tblPrEx>
          <w:tblCellMar>
            <w:top w:w="0" w:type="dxa"/>
            <w:left w:w="108" w:type="dxa"/>
            <w:bottom w:w="0" w:type="dxa"/>
            <w:right w:w="108" w:type="dxa"/>
          </w:tblCellMar>
        </w:tblPrEx>
        <w:tc>
          <w:tcPr>
            <w:tcW w:w="1440" w:type="dxa"/>
            <w:tcBorders>
              <w:left w:val="nil"/>
              <w:bottom w:val="single" w:color="000000" w:sz="12" w:space="0"/>
              <w:right w:val="nil"/>
            </w:tcBorders>
            <w:tcMar>
              <w:top w:w="96" w:type="dxa"/>
              <w:left w:w="144" w:type="dxa"/>
              <w:bottom w:w="96" w:type="dxa"/>
              <w:right w:w="144" w:type="dxa"/>
            </w:tcMar>
            <w:vAlign w:val="center"/>
          </w:tcPr>
          <w:p w14:paraId="5E8405B4">
            <w:pPr>
              <w:spacing w:before="52" w:after="52" w:line="240" w:lineRule="auto"/>
              <w:jc w:val="left"/>
            </w:pPr>
            <w:r>
              <w:rPr>
                <w:sz w:val="21"/>
              </w:rPr>
              <w:t>Age （年）</w:t>
            </w:r>
          </w:p>
        </w:tc>
        <w:tc>
          <w:tcPr>
            <w:tcW w:w="1440" w:type="dxa"/>
            <w:tcBorders>
              <w:left w:val="nil"/>
              <w:bottom w:val="single" w:color="000000" w:sz="12" w:space="0"/>
              <w:right w:val="nil"/>
            </w:tcBorders>
            <w:tcMar>
              <w:top w:w="96" w:type="dxa"/>
              <w:left w:w="144" w:type="dxa"/>
              <w:bottom w:w="96" w:type="dxa"/>
              <w:right w:w="144" w:type="dxa"/>
            </w:tcMar>
            <w:vAlign w:val="center"/>
          </w:tcPr>
          <w:p w14:paraId="30D26386">
            <w:pPr>
              <w:spacing w:before="52" w:after="52" w:line="240" w:lineRule="auto"/>
              <w:jc w:val="left"/>
            </w:pPr>
            <w:r>
              <w:rPr>
                <w:sz w:val="21"/>
              </w:rPr>
              <w:t>15.83</w:t>
            </w:r>
          </w:p>
        </w:tc>
        <w:tc>
          <w:tcPr>
            <w:tcW w:w="1440" w:type="dxa"/>
            <w:tcBorders>
              <w:left w:val="nil"/>
              <w:bottom w:val="single" w:color="000000" w:sz="12" w:space="0"/>
              <w:right w:val="nil"/>
            </w:tcBorders>
            <w:tcMar>
              <w:top w:w="96" w:type="dxa"/>
              <w:left w:w="144" w:type="dxa"/>
              <w:bottom w:w="96" w:type="dxa"/>
              <w:right w:w="144" w:type="dxa"/>
            </w:tcMar>
            <w:vAlign w:val="center"/>
          </w:tcPr>
          <w:p w14:paraId="2706B043">
            <w:pPr>
              <w:spacing w:before="52" w:after="52" w:line="240" w:lineRule="auto"/>
              <w:jc w:val="left"/>
            </w:pPr>
            <w:r>
              <w:rPr>
                <w:sz w:val="21"/>
              </w:rPr>
              <w:t>5.21</w:t>
            </w:r>
          </w:p>
        </w:tc>
        <w:tc>
          <w:tcPr>
            <w:tcW w:w="1440" w:type="dxa"/>
            <w:tcBorders>
              <w:left w:val="nil"/>
              <w:bottom w:val="single" w:color="000000" w:sz="12" w:space="0"/>
              <w:right w:val="nil"/>
            </w:tcBorders>
            <w:tcMar>
              <w:top w:w="96" w:type="dxa"/>
              <w:left w:w="144" w:type="dxa"/>
              <w:bottom w:w="96" w:type="dxa"/>
              <w:right w:w="144" w:type="dxa"/>
            </w:tcMar>
            <w:vAlign w:val="center"/>
          </w:tcPr>
          <w:p w14:paraId="3EDC695F">
            <w:pPr>
              <w:spacing w:before="52" w:after="52" w:line="240" w:lineRule="auto"/>
              <w:jc w:val="left"/>
            </w:pPr>
            <w:r>
              <w:rPr>
                <w:sz w:val="21"/>
              </w:rPr>
              <w:t>3.00</w:t>
            </w:r>
          </w:p>
        </w:tc>
        <w:tc>
          <w:tcPr>
            <w:tcW w:w="1440" w:type="dxa"/>
            <w:tcBorders>
              <w:left w:val="nil"/>
              <w:bottom w:val="single" w:color="000000" w:sz="12" w:space="0"/>
              <w:right w:val="nil"/>
            </w:tcBorders>
            <w:tcMar>
              <w:top w:w="96" w:type="dxa"/>
              <w:left w:w="144" w:type="dxa"/>
              <w:bottom w:w="96" w:type="dxa"/>
              <w:right w:w="144" w:type="dxa"/>
            </w:tcMar>
            <w:vAlign w:val="center"/>
          </w:tcPr>
          <w:p w14:paraId="18819103">
            <w:pPr>
              <w:spacing w:before="52" w:after="52" w:line="240" w:lineRule="auto"/>
              <w:jc w:val="left"/>
            </w:pPr>
            <w:r>
              <w:rPr>
                <w:sz w:val="21"/>
              </w:rPr>
              <w:t>16.00</w:t>
            </w:r>
          </w:p>
        </w:tc>
        <w:tc>
          <w:tcPr>
            <w:tcW w:w="1440" w:type="dxa"/>
            <w:tcBorders>
              <w:left w:val="nil"/>
              <w:bottom w:val="single" w:color="000000" w:sz="12" w:space="0"/>
              <w:right w:val="nil"/>
            </w:tcBorders>
            <w:tcMar>
              <w:top w:w="96" w:type="dxa"/>
              <w:left w:w="144" w:type="dxa"/>
              <w:bottom w:w="96" w:type="dxa"/>
              <w:right w:w="144" w:type="dxa"/>
            </w:tcMar>
            <w:vAlign w:val="center"/>
          </w:tcPr>
          <w:p w14:paraId="31803E5E">
            <w:pPr>
              <w:spacing w:before="52" w:after="52" w:line="240" w:lineRule="auto"/>
              <w:jc w:val="left"/>
            </w:pPr>
            <w:r>
              <w:rPr>
                <w:sz w:val="21"/>
              </w:rPr>
              <w:t>32.00</w:t>
            </w:r>
          </w:p>
        </w:tc>
      </w:tr>
    </w:tbl>
    <w:p w14:paraId="650D9245">
      <w:pPr>
        <w:ind w:firstLine="480"/>
        <w:jc w:val="both"/>
      </w:pPr>
      <w:r>
        <w:rPr>
          <w:rFonts w:hint="eastAsia" w:ascii="宋体" w:hAnsi="宋体" w:eastAsia="宋体" w:cs="宋体"/>
          <w:lang w:eastAsia="zh-CN"/>
        </w:rPr>
        <w:t>分年度看，</w:t>
      </w:r>
      <w:r>
        <w:t>DTI</w:t>
      </w:r>
      <w:r>
        <w:rPr>
          <w:rFonts w:hint="eastAsia" w:ascii="宋体" w:hAnsi="宋体" w:eastAsia="宋体" w:cs="宋体"/>
          <w:lang w:eastAsia="zh-CN"/>
        </w:rPr>
        <w:t>均值从</w:t>
      </w:r>
      <w:r>
        <w:t>2019</w:t>
      </w:r>
      <w:r>
        <w:rPr>
          <w:rFonts w:hint="eastAsia" w:ascii="宋体" w:hAnsi="宋体" w:eastAsia="宋体" w:cs="宋体"/>
          <w:lang w:eastAsia="zh-CN"/>
        </w:rPr>
        <w:t>年的</w:t>
      </w:r>
      <w:r>
        <w:t>1.21%</w:t>
      </w:r>
      <w:r>
        <w:rPr>
          <w:rFonts w:hint="eastAsia" w:ascii="宋体" w:hAnsi="宋体" w:eastAsia="宋体" w:cs="宋体"/>
          <w:lang w:eastAsia="zh-CN"/>
        </w:rPr>
        <w:t>上升至</w:t>
      </w:r>
      <w:r>
        <w:t>2023</w:t>
      </w:r>
      <w:r>
        <w:rPr>
          <w:rFonts w:hint="eastAsia" w:ascii="宋体" w:hAnsi="宋体" w:eastAsia="宋体" w:cs="宋体"/>
          <w:lang w:eastAsia="zh-CN"/>
        </w:rPr>
        <w:t>年的</w:t>
      </w:r>
      <w:r>
        <w:t>2.58%</w:t>
      </w:r>
      <w:r>
        <w:rPr>
          <w:rFonts w:hint="eastAsia" w:ascii="宋体" w:hAnsi="宋体" w:eastAsia="宋体" w:cs="宋体"/>
          <w:lang w:eastAsia="zh-CN"/>
        </w:rPr>
        <w:t>，年均复合增长率约</w:t>
      </w:r>
      <w:r>
        <w:t>20.8%</w:t>
      </w:r>
      <w:r>
        <w:rPr>
          <w:rFonts w:hint="eastAsia" w:ascii="宋体" w:hAnsi="宋体" w:eastAsia="宋体" w:cs="宋体"/>
          <w:lang w:eastAsia="zh-CN"/>
        </w:rPr>
        <w:t>，且</w:t>
      </w:r>
      <w:r>
        <w:t>2020—2021</w:t>
      </w:r>
      <w:r>
        <w:rPr>
          <w:rFonts w:hint="eastAsia" w:ascii="宋体" w:hAnsi="宋体" w:eastAsia="宋体" w:cs="宋体"/>
          <w:lang w:eastAsia="zh-CN"/>
        </w:rPr>
        <w:t>年增速最快，与疫情催化线上化经营、以及</w:t>
      </w:r>
      <w:r>
        <w:t>"</w:t>
      </w:r>
      <w:r>
        <w:rPr>
          <w:rFonts w:hint="eastAsia" w:ascii="宋体" w:hAnsi="宋体" w:eastAsia="宋体" w:cs="宋体"/>
          <w:lang w:eastAsia="zh-CN"/>
        </w:rPr>
        <w:t>十四五</w:t>
      </w:r>
      <w:r>
        <w:t>"</w:t>
      </w:r>
      <w:r>
        <w:rPr>
          <w:rFonts w:hint="eastAsia" w:ascii="宋体" w:hAnsi="宋体" w:eastAsia="宋体" w:cs="宋体"/>
          <w:lang w:eastAsia="zh-CN"/>
        </w:rPr>
        <w:t>规划发布带来的政策强化的时间节点吻合；分产权性质看，国有企业</w:t>
      </w:r>
      <w:r>
        <w:t>DTI</w:t>
      </w:r>
      <w:r>
        <w:rPr>
          <w:rFonts w:hint="eastAsia" w:ascii="宋体" w:hAnsi="宋体" w:eastAsia="宋体" w:cs="宋体"/>
          <w:lang w:eastAsia="zh-CN"/>
        </w:rPr>
        <w:t>均值（</w:t>
      </w:r>
      <w:r>
        <w:t>2.03%</w:t>
      </w:r>
      <w:r>
        <w:rPr>
          <w:rFonts w:hint="eastAsia" w:ascii="宋体" w:hAnsi="宋体" w:eastAsia="宋体" w:cs="宋体"/>
          <w:lang w:eastAsia="zh-CN"/>
        </w:rPr>
        <w:t>）高于非国有企业（</w:t>
      </w:r>
      <w:r>
        <w:t>1.76%</w:t>
      </w:r>
      <w:r>
        <w:rPr>
          <w:rFonts w:hint="eastAsia" w:ascii="宋体" w:hAnsi="宋体" w:eastAsia="宋体" w:cs="宋体"/>
          <w:lang w:eastAsia="zh-CN"/>
        </w:rPr>
        <w:t>），但非国有企业</w:t>
      </w:r>
      <w:r>
        <w:t>DTI</w:t>
      </w:r>
      <w:r>
        <w:rPr>
          <w:rFonts w:hint="eastAsia" w:ascii="宋体" w:hAnsi="宋体" w:eastAsia="宋体" w:cs="宋体"/>
          <w:lang w:eastAsia="zh-CN"/>
        </w:rPr>
        <w:t>的年度增速更快，反映不同类型企业转型节奏的差异。</w:t>
      </w:r>
    </w:p>
    <w:p w14:paraId="6E2A2EEA">
      <w:pPr>
        <w:pStyle w:val="5"/>
      </w:pPr>
      <w:bookmarkStart w:id="29" w:name="sec-3-2"/>
      <w:bookmarkEnd w:id="29"/>
      <w:bookmarkStart w:id="30" w:name="_Toc_sec_3_2"/>
      <w:r>
        <w:rPr>
          <w:rFonts w:hint="eastAsia" w:ascii="宋体" w:hAnsi="宋体" w:eastAsia="宋体" w:cs="宋体"/>
          <w:b/>
          <w:sz w:val="24"/>
          <w:lang w:eastAsia="zh-CN"/>
        </w:rPr>
        <w:t>（二）信度检验与效度检验</w:t>
      </w:r>
      <w:bookmarkEnd w:id="30"/>
    </w:p>
    <w:p w14:paraId="4082DCB6">
      <w:pPr>
        <w:ind w:firstLine="480"/>
        <w:jc w:val="both"/>
      </w:pPr>
      <w:r>
        <w:rPr>
          <w:rFonts w:hint="eastAsia" w:ascii="宋体" w:hAnsi="宋体" w:eastAsia="宋体" w:cs="宋体"/>
          <w:lang w:eastAsia="zh-CN"/>
        </w:rPr>
        <w:t>测度质量是本文方法论关注的核心，本章按</w:t>
      </w:r>
      <w:r>
        <w:t>"</w:t>
      </w:r>
      <w:r>
        <w:rPr>
          <w:rFonts w:hint="eastAsia" w:ascii="宋体" w:hAnsi="宋体" w:eastAsia="宋体" w:cs="宋体"/>
          <w:lang w:eastAsia="zh-CN"/>
        </w:rPr>
        <w:t>内部一致性信度</w:t>
      </w:r>
      <w:r>
        <w:t>—</w:t>
      </w:r>
      <w:r>
        <w:rPr>
          <w:rFonts w:hint="eastAsia" w:ascii="宋体" w:hAnsi="宋体" w:eastAsia="宋体" w:cs="宋体"/>
          <w:lang w:eastAsia="zh-CN"/>
        </w:rPr>
        <w:t>分半信度</w:t>
      </w:r>
      <w:r>
        <w:t>—</w:t>
      </w:r>
      <w:r>
        <w:rPr>
          <w:rFonts w:hint="eastAsia" w:ascii="宋体" w:hAnsi="宋体" w:eastAsia="宋体" w:cs="宋体"/>
          <w:lang w:eastAsia="zh-CN"/>
        </w:rPr>
        <w:t>收敛效度</w:t>
      </w:r>
      <w:r>
        <w:t>"</w:t>
      </w:r>
      <w:r>
        <w:rPr>
          <w:rFonts w:hint="eastAsia" w:ascii="宋体" w:hAnsi="宋体" w:eastAsia="宋体" w:cs="宋体"/>
          <w:lang w:eastAsia="zh-CN"/>
        </w:rPr>
        <w:t>三个层次对</w:t>
      </w:r>
      <w:r>
        <w:t>DTI</w:t>
      </w:r>
      <w:r>
        <w:rPr>
          <w:rFonts w:hint="eastAsia" w:ascii="宋体" w:hAnsi="宋体" w:eastAsia="宋体" w:cs="宋体"/>
          <w:lang w:eastAsia="zh-CN"/>
        </w:rPr>
        <w:t>进行系统检验。</w:t>
      </w:r>
    </w:p>
    <w:p w14:paraId="5ECE1E03">
      <w:pPr>
        <w:ind w:firstLine="480"/>
        <w:jc w:val="both"/>
      </w:pPr>
      <w:r>
        <w:rPr>
          <w:rFonts w:hint="eastAsia" w:ascii="宋体" w:hAnsi="宋体" w:eastAsia="宋体" w:cs="宋体"/>
          <w:b/>
          <w:lang w:eastAsia="zh-CN"/>
        </w:rPr>
        <w:t>（1）内部一致性信度（Cronbach's α）。</w:t>
      </w:r>
      <w:r>
        <w:rPr>
          <w:rFonts w:hint="eastAsia" w:ascii="宋体" w:hAnsi="宋体" w:eastAsia="宋体" w:cs="宋体"/>
          <w:lang w:eastAsia="zh-CN"/>
        </w:rPr>
        <w:t>将</w:t>
      </w:r>
      <w:r>
        <w:t>DTI</w:t>
      </w:r>
      <w:r>
        <w:rPr>
          <w:rFonts w:hint="eastAsia" w:ascii="宋体" w:hAnsi="宋体" w:eastAsia="宋体" w:cs="宋体"/>
          <w:lang w:eastAsia="zh-CN"/>
        </w:rPr>
        <w:t>的五个维度（人工智能、大数据、云计算、区块链、数字技术应用）视为量表的五个题项，计算得整体</w:t>
      </w:r>
      <w:r>
        <w:t>Cronbach's α=0.87</w:t>
      </w:r>
      <w:r>
        <w:rPr>
          <w:rFonts w:hint="eastAsia" w:ascii="宋体" w:hAnsi="宋体" w:eastAsia="宋体" w:cs="宋体"/>
          <w:lang w:eastAsia="zh-CN"/>
        </w:rPr>
        <w:t>，大于</w:t>
      </w:r>
      <w:r>
        <w:t>0.8</w:t>
      </w:r>
      <w:r>
        <w:rPr>
          <w:rFonts w:hint="eastAsia" w:ascii="宋体" w:hAnsi="宋体" w:eastAsia="宋体" w:cs="宋体"/>
          <w:lang w:eastAsia="zh-CN"/>
        </w:rPr>
        <w:t>的优良标准；剔除任一维度后的</w:t>
      </w:r>
      <w:r>
        <w:t>α</w:t>
      </w:r>
      <w:r>
        <w:rPr>
          <w:rFonts w:hint="eastAsia" w:ascii="宋体" w:hAnsi="宋体" w:eastAsia="宋体" w:cs="宋体"/>
          <w:lang w:eastAsia="zh-CN"/>
        </w:rPr>
        <w:t>系数区间为</w:t>
      </w:r>
      <w:r>
        <w:t>0.84—0.86</w:t>
      </w:r>
      <w:r>
        <w:rPr>
          <w:rFonts w:hint="eastAsia" w:ascii="宋体" w:hAnsi="宋体" w:eastAsia="宋体" w:cs="宋体"/>
          <w:lang w:eastAsia="zh-CN"/>
        </w:rPr>
        <w:t>，均未出现明显跃升，说明五个维度不存在</w:t>
      </w:r>
      <w:r>
        <w:t>"</w:t>
      </w:r>
      <w:r>
        <w:rPr>
          <w:rFonts w:hint="eastAsia" w:ascii="宋体" w:hAnsi="宋体" w:eastAsia="宋体" w:cs="宋体"/>
          <w:lang w:eastAsia="zh-CN"/>
        </w:rPr>
        <w:t>拖后腿</w:t>
      </w:r>
      <w:r>
        <w:t>"</w:t>
      </w:r>
      <w:r>
        <w:rPr>
          <w:rFonts w:hint="eastAsia" w:ascii="宋体" w:hAnsi="宋体" w:eastAsia="宋体" w:cs="宋体"/>
          <w:lang w:eastAsia="zh-CN"/>
        </w:rPr>
        <w:t>的冗余题项。分半信度（按奇偶维度分半，</w:t>
      </w:r>
      <w:r>
        <w:t>Spearman-Brown</w:t>
      </w:r>
      <w:r>
        <w:rPr>
          <w:rFonts w:hint="eastAsia" w:ascii="宋体" w:hAnsi="宋体" w:eastAsia="宋体" w:cs="宋体"/>
          <w:lang w:eastAsia="zh-CN"/>
        </w:rPr>
        <w:t>校正）为</w:t>
      </w:r>
      <w:r>
        <w:t>0.83</w:t>
      </w:r>
      <w:r>
        <w:rPr>
          <w:rFonts w:hint="eastAsia" w:ascii="宋体" w:hAnsi="宋体" w:eastAsia="宋体" w:cs="宋体"/>
          <w:lang w:eastAsia="zh-CN"/>
        </w:rPr>
        <w:t>，进一步支持测度的内部一致性。</w:t>
      </w:r>
    </w:p>
    <w:p w14:paraId="58B79964">
      <w:pPr>
        <w:ind w:firstLine="480"/>
        <w:jc w:val="both"/>
      </w:pPr>
      <w:r>
        <w:rPr>
          <w:rFonts w:hint="eastAsia" w:ascii="宋体" w:hAnsi="宋体" w:eastAsia="宋体" w:cs="宋体"/>
          <w:b/>
          <w:lang w:eastAsia="zh-CN"/>
        </w:rPr>
        <w:t>（2）收敛效度。</w:t>
      </w:r>
      <w:r>
        <w:rPr>
          <w:rFonts w:hint="eastAsia" w:ascii="宋体" w:hAnsi="宋体" w:eastAsia="宋体" w:cs="宋体"/>
          <w:lang w:eastAsia="zh-CN"/>
        </w:rPr>
        <w:t>理论上，数字化程度更高的企业应表现出更多的数字化无形资产投入与</w:t>
      </w:r>
      <w:r>
        <w:t>IT</w:t>
      </w:r>
      <w:r>
        <w:rPr>
          <w:rFonts w:hint="eastAsia" w:ascii="宋体" w:hAnsi="宋体" w:eastAsia="宋体" w:cs="宋体"/>
          <w:lang w:eastAsia="zh-CN"/>
        </w:rPr>
        <w:t>人员配置。检验结果显示，</w:t>
      </w:r>
      <w:r>
        <w:t>DTI</w:t>
      </w:r>
      <w:r>
        <w:rPr>
          <w:rFonts w:hint="eastAsia" w:ascii="宋体" w:hAnsi="宋体" w:eastAsia="宋体" w:cs="宋体"/>
          <w:lang w:eastAsia="zh-CN"/>
        </w:rPr>
        <w:t>与</w:t>
      </w:r>
      <w:r>
        <w:t>"</w:t>
      </w:r>
      <w:r>
        <w:rPr>
          <w:rFonts w:hint="eastAsia" w:ascii="宋体" w:hAnsi="宋体" w:eastAsia="宋体" w:cs="宋体"/>
          <w:lang w:eastAsia="zh-CN"/>
        </w:rPr>
        <w:t>数字化相关无形资产占总资产比重</w:t>
      </w:r>
      <w:r>
        <w:t>"</w:t>
      </w:r>
      <w:r>
        <w:rPr>
          <w:rFonts w:hint="eastAsia" w:ascii="宋体" w:hAnsi="宋体" w:eastAsia="宋体" w:cs="宋体"/>
          <w:lang w:eastAsia="zh-CN"/>
        </w:rPr>
        <w:t>的相关系数为</w:t>
      </w:r>
      <w:r>
        <w:t>0.46</w:t>
      </w:r>
      <w:r>
        <w:rPr>
          <w:rFonts w:hint="eastAsia" w:ascii="宋体" w:hAnsi="宋体" w:eastAsia="宋体" w:cs="宋体"/>
          <w:lang w:eastAsia="zh-CN"/>
        </w:rPr>
        <w:t>（</w:t>
      </w:r>
      <w:r>
        <w:t>p&lt;0.01</w:t>
      </w:r>
      <w:r>
        <w:rPr>
          <w:rFonts w:hint="eastAsia" w:ascii="宋体" w:hAnsi="宋体" w:eastAsia="宋体" w:cs="宋体"/>
          <w:lang w:eastAsia="zh-CN"/>
        </w:rPr>
        <w:t>），与</w:t>
      </w:r>
      <w:r>
        <w:t>"</w:t>
      </w:r>
      <w:r>
        <w:rPr>
          <w:rFonts w:hint="eastAsia" w:ascii="宋体" w:hAnsi="宋体" w:eastAsia="宋体" w:cs="宋体"/>
          <w:lang w:eastAsia="zh-CN"/>
        </w:rPr>
        <w:t>员工中信息技术人员占比</w:t>
      </w:r>
      <w:r>
        <w:t>"</w:t>
      </w:r>
      <w:r>
        <w:rPr>
          <w:rFonts w:hint="eastAsia" w:ascii="宋体" w:hAnsi="宋体" w:eastAsia="宋体" w:cs="宋体"/>
          <w:lang w:eastAsia="zh-CN"/>
        </w:rPr>
        <w:t>的相关系数为</w:t>
      </w:r>
      <w:r>
        <w:t>0.39</w:t>
      </w:r>
      <w:r>
        <w:rPr>
          <w:rFonts w:hint="eastAsia" w:ascii="宋体" w:hAnsi="宋体" w:eastAsia="宋体" w:cs="宋体"/>
          <w:lang w:eastAsia="zh-CN"/>
        </w:rPr>
        <w:t>（</w:t>
      </w:r>
      <w:r>
        <w:t>p&lt;0.01</w:t>
      </w:r>
      <w:r>
        <w:rPr>
          <w:rFonts w:hint="eastAsia" w:ascii="宋体" w:hAnsi="宋体" w:eastAsia="宋体" w:cs="宋体"/>
          <w:lang w:eastAsia="zh-CN"/>
        </w:rPr>
        <w:t>），表明文本测度能够收敛于同一构念的独立观测指标。此外，</w:t>
      </w:r>
      <w:r>
        <w:t>DTI</w:t>
      </w:r>
      <w:r>
        <w:rPr>
          <w:rFonts w:hint="eastAsia" w:ascii="宋体" w:hAnsi="宋体" w:eastAsia="宋体" w:cs="宋体"/>
          <w:lang w:eastAsia="zh-CN"/>
        </w:rPr>
        <w:t>的五个维度之间相关系数介于</w:t>
      </w:r>
      <w:r>
        <w:t>0.31—0.58</w:t>
      </w:r>
      <w:r>
        <w:rPr>
          <w:rFonts w:hint="eastAsia" w:ascii="宋体" w:hAnsi="宋体" w:eastAsia="宋体" w:cs="宋体"/>
          <w:lang w:eastAsia="zh-CN"/>
        </w:rPr>
        <w:t>之间，均显著且未出现高度重合（均低于</w:t>
      </w:r>
      <w:r>
        <w:t>0.7</w:t>
      </w:r>
      <w:r>
        <w:rPr>
          <w:rFonts w:hint="eastAsia" w:ascii="宋体" w:hAnsi="宋体" w:eastAsia="宋体" w:cs="宋体"/>
          <w:lang w:eastAsia="zh-CN"/>
        </w:rPr>
        <w:t>），支持维度既相关又各有独立信息量的结构。</w:t>
      </w:r>
    </w:p>
    <w:p w14:paraId="0197FA97">
      <w:pPr>
        <w:ind w:firstLine="480"/>
        <w:jc w:val="both"/>
      </w:pPr>
      <w:r>
        <w:rPr>
          <w:rFonts w:hint="eastAsia" w:ascii="宋体" w:hAnsi="宋体" w:eastAsia="宋体" w:cs="宋体"/>
          <w:b/>
          <w:lang w:eastAsia="zh-CN"/>
        </w:rPr>
        <w:t>（3）重测稳定性。</w:t>
      </w:r>
      <w:r>
        <w:rPr>
          <w:rFonts w:hint="eastAsia" w:ascii="宋体" w:hAnsi="宋体" w:eastAsia="宋体" w:cs="宋体"/>
          <w:lang w:eastAsia="zh-CN"/>
        </w:rPr>
        <w:t>对同一企业相邻年度年报，检验</w:t>
      </w:r>
      <w:r>
        <w:t>"</w:t>
      </w:r>
      <w:r>
        <w:rPr>
          <w:rFonts w:hint="eastAsia" w:ascii="宋体" w:hAnsi="宋体" w:eastAsia="宋体" w:cs="宋体"/>
          <w:lang w:eastAsia="zh-CN"/>
        </w:rPr>
        <w:t>未提及重大战略变化企业</w:t>
      </w:r>
      <w:r>
        <w:t>"</w:t>
      </w:r>
      <w:r>
        <w:rPr>
          <w:rFonts w:hint="eastAsia" w:ascii="宋体" w:hAnsi="宋体" w:eastAsia="宋体" w:cs="宋体"/>
          <w:lang w:eastAsia="zh-CN"/>
        </w:rPr>
        <w:t>的</w:t>
      </w:r>
      <w:r>
        <w:t>DTI</w:t>
      </w:r>
      <w:r>
        <w:rPr>
          <w:rFonts w:hint="eastAsia" w:ascii="宋体" w:hAnsi="宋体" w:eastAsia="宋体" w:cs="宋体"/>
          <w:lang w:eastAsia="zh-CN"/>
        </w:rPr>
        <w:t>年度波动情况，标准差为</w:t>
      </w:r>
      <w:r>
        <w:t>0.24%</w:t>
      </w:r>
      <w:r>
        <w:rPr>
          <w:rFonts w:hint="eastAsia" w:ascii="宋体" w:hAnsi="宋体" w:eastAsia="宋体" w:cs="宋体"/>
          <w:lang w:eastAsia="zh-CN"/>
        </w:rPr>
        <w:t>，说明在经营叙事稳定的条件下测度具有较好的短期稳定性，词频波动主要反映真实的转型动作而非噪声。</w:t>
      </w:r>
    </w:p>
    <w:tbl>
      <w:tblPr>
        <w:tblStyle w:val="32"/>
        <w:tblW w:w="5000" w:type="pct"/>
        <w:tblInd w:w="0" w:type="dxa"/>
        <w:tblLayout w:type="autofit"/>
        <w:tblCellMar>
          <w:top w:w="0" w:type="dxa"/>
          <w:left w:w="108" w:type="dxa"/>
          <w:bottom w:w="0" w:type="dxa"/>
          <w:right w:w="108" w:type="dxa"/>
        </w:tblCellMar>
      </w:tblPr>
      <w:tblGrid>
        <w:gridCol w:w="1778"/>
        <w:gridCol w:w="1871"/>
        <w:gridCol w:w="1871"/>
        <w:gridCol w:w="1778"/>
        <w:gridCol w:w="1778"/>
      </w:tblGrid>
      <w:tr w14:paraId="3895F60A">
        <w:tc>
          <w:tcPr>
            <w:tcW w:w="1728"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7C9B1F2C">
            <w:pPr>
              <w:spacing w:before="52" w:after="52" w:line="240" w:lineRule="auto"/>
              <w:jc w:val="left"/>
            </w:pPr>
            <w:r>
              <w:rPr>
                <w:b/>
                <w:sz w:val="21"/>
              </w:rPr>
              <w:t>检验类型</w:t>
            </w:r>
          </w:p>
        </w:tc>
        <w:tc>
          <w:tcPr>
            <w:tcW w:w="1728"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07B23C57">
            <w:pPr>
              <w:spacing w:before="52" w:after="52" w:line="240" w:lineRule="auto"/>
              <w:jc w:val="left"/>
            </w:pPr>
            <w:r>
              <w:rPr>
                <w:b/>
                <w:sz w:val="21"/>
              </w:rPr>
              <w:t>指标</w:t>
            </w:r>
          </w:p>
        </w:tc>
        <w:tc>
          <w:tcPr>
            <w:tcW w:w="1728"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77852FBB">
            <w:pPr>
              <w:spacing w:before="52" w:after="52" w:line="240" w:lineRule="auto"/>
              <w:jc w:val="left"/>
            </w:pPr>
            <w:r>
              <w:rPr>
                <w:b/>
                <w:sz w:val="21"/>
              </w:rPr>
              <w:t>数值</w:t>
            </w:r>
          </w:p>
        </w:tc>
        <w:tc>
          <w:tcPr>
            <w:tcW w:w="1728"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4FBDDA3A">
            <w:pPr>
              <w:spacing w:before="52" w:after="52" w:line="240" w:lineRule="auto"/>
              <w:jc w:val="left"/>
            </w:pPr>
            <w:r>
              <w:rPr>
                <w:b/>
                <w:sz w:val="21"/>
              </w:rPr>
              <w:t>判定标准</w:t>
            </w:r>
          </w:p>
        </w:tc>
        <w:tc>
          <w:tcPr>
            <w:tcW w:w="1728"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0D833813">
            <w:pPr>
              <w:spacing w:before="52" w:after="52" w:line="240" w:lineRule="auto"/>
              <w:jc w:val="left"/>
            </w:pPr>
            <w:r>
              <w:rPr>
                <w:b/>
                <w:sz w:val="21"/>
              </w:rPr>
              <w:t>结论</w:t>
            </w:r>
          </w:p>
        </w:tc>
      </w:tr>
      <w:tr w14:paraId="7100E749">
        <w:tblPrEx>
          <w:tblCellMar>
            <w:top w:w="0" w:type="dxa"/>
            <w:left w:w="108" w:type="dxa"/>
            <w:bottom w:w="0" w:type="dxa"/>
            <w:right w:w="108" w:type="dxa"/>
          </w:tblCellMar>
        </w:tblPrEx>
        <w:tc>
          <w:tcPr>
            <w:tcW w:w="1728" w:type="dxa"/>
            <w:tcBorders>
              <w:left w:val="nil"/>
              <w:right w:val="nil"/>
            </w:tcBorders>
            <w:tcMar>
              <w:top w:w="96" w:type="dxa"/>
              <w:left w:w="144" w:type="dxa"/>
              <w:bottom w:w="96" w:type="dxa"/>
              <w:right w:w="144" w:type="dxa"/>
            </w:tcMar>
            <w:vAlign w:val="center"/>
          </w:tcPr>
          <w:p w14:paraId="673E142F">
            <w:pPr>
              <w:spacing w:before="52" w:after="52" w:line="240" w:lineRule="auto"/>
              <w:jc w:val="left"/>
            </w:pPr>
            <w:r>
              <w:rPr>
                <w:sz w:val="21"/>
              </w:rPr>
              <w:t>内部一致性信度</w:t>
            </w:r>
          </w:p>
        </w:tc>
        <w:tc>
          <w:tcPr>
            <w:tcW w:w="1728" w:type="dxa"/>
            <w:tcBorders>
              <w:left w:val="nil"/>
              <w:right w:val="nil"/>
            </w:tcBorders>
            <w:tcMar>
              <w:top w:w="96" w:type="dxa"/>
              <w:left w:w="144" w:type="dxa"/>
              <w:bottom w:w="96" w:type="dxa"/>
              <w:right w:w="144" w:type="dxa"/>
            </w:tcMar>
            <w:vAlign w:val="center"/>
          </w:tcPr>
          <w:p w14:paraId="1E39DBCE">
            <w:pPr>
              <w:spacing w:before="52" w:after="52" w:line="240" w:lineRule="auto"/>
              <w:jc w:val="left"/>
            </w:pPr>
            <w:r>
              <w:rPr>
                <w:sz w:val="21"/>
              </w:rPr>
              <w:t>Cronbach's α</w:t>
            </w:r>
          </w:p>
        </w:tc>
        <w:tc>
          <w:tcPr>
            <w:tcW w:w="1728" w:type="dxa"/>
            <w:tcBorders>
              <w:left w:val="nil"/>
              <w:right w:val="nil"/>
            </w:tcBorders>
            <w:tcMar>
              <w:top w:w="96" w:type="dxa"/>
              <w:left w:w="144" w:type="dxa"/>
              <w:bottom w:w="96" w:type="dxa"/>
              <w:right w:w="144" w:type="dxa"/>
            </w:tcMar>
            <w:vAlign w:val="center"/>
          </w:tcPr>
          <w:p w14:paraId="2B389E79">
            <w:pPr>
              <w:spacing w:before="52" w:after="52" w:line="240" w:lineRule="auto"/>
              <w:jc w:val="left"/>
            </w:pPr>
            <w:r>
              <w:rPr>
                <w:sz w:val="21"/>
              </w:rPr>
              <w:t>0.87</w:t>
            </w:r>
          </w:p>
        </w:tc>
        <w:tc>
          <w:tcPr>
            <w:tcW w:w="1728" w:type="dxa"/>
            <w:tcBorders>
              <w:left w:val="nil"/>
              <w:right w:val="nil"/>
            </w:tcBorders>
            <w:tcMar>
              <w:top w:w="96" w:type="dxa"/>
              <w:left w:w="144" w:type="dxa"/>
              <w:bottom w:w="96" w:type="dxa"/>
              <w:right w:w="144" w:type="dxa"/>
            </w:tcMar>
            <w:vAlign w:val="center"/>
          </w:tcPr>
          <w:p w14:paraId="77FF56DC">
            <w:pPr>
              <w:spacing w:before="52" w:after="52" w:line="240" w:lineRule="auto"/>
              <w:jc w:val="left"/>
            </w:pPr>
            <w:r>
              <w:rPr>
                <w:sz w:val="21"/>
              </w:rPr>
              <w:t>≥0.8 为优良</w:t>
            </w:r>
          </w:p>
        </w:tc>
        <w:tc>
          <w:tcPr>
            <w:tcW w:w="1728" w:type="dxa"/>
            <w:tcBorders>
              <w:left w:val="nil"/>
              <w:right w:val="nil"/>
            </w:tcBorders>
            <w:tcMar>
              <w:top w:w="96" w:type="dxa"/>
              <w:left w:w="144" w:type="dxa"/>
              <w:bottom w:w="96" w:type="dxa"/>
              <w:right w:w="144" w:type="dxa"/>
            </w:tcMar>
            <w:vAlign w:val="center"/>
          </w:tcPr>
          <w:p w14:paraId="7085DE4E">
            <w:pPr>
              <w:spacing w:before="52" w:after="52" w:line="240" w:lineRule="auto"/>
              <w:jc w:val="left"/>
            </w:pPr>
            <w:r>
              <w:rPr>
                <w:sz w:val="21"/>
              </w:rPr>
              <w:t>通过</w:t>
            </w:r>
          </w:p>
        </w:tc>
      </w:tr>
      <w:tr w14:paraId="25C3CC43">
        <w:tblPrEx>
          <w:tblCellMar>
            <w:top w:w="0" w:type="dxa"/>
            <w:left w:w="108" w:type="dxa"/>
            <w:bottom w:w="0" w:type="dxa"/>
            <w:right w:w="108" w:type="dxa"/>
          </w:tblCellMar>
        </w:tblPrEx>
        <w:tc>
          <w:tcPr>
            <w:tcW w:w="1728" w:type="dxa"/>
            <w:tcBorders>
              <w:left w:val="nil"/>
              <w:right w:val="nil"/>
            </w:tcBorders>
            <w:tcMar>
              <w:top w:w="96" w:type="dxa"/>
              <w:left w:w="144" w:type="dxa"/>
              <w:bottom w:w="96" w:type="dxa"/>
              <w:right w:w="144" w:type="dxa"/>
            </w:tcMar>
            <w:vAlign w:val="center"/>
          </w:tcPr>
          <w:p w14:paraId="3043A516">
            <w:pPr>
              <w:spacing w:before="52" w:after="52" w:line="240" w:lineRule="auto"/>
              <w:jc w:val="left"/>
            </w:pPr>
            <w:r>
              <w:rPr>
                <w:sz w:val="21"/>
              </w:rPr>
              <w:t>分半信度</w:t>
            </w:r>
          </w:p>
        </w:tc>
        <w:tc>
          <w:tcPr>
            <w:tcW w:w="1728" w:type="dxa"/>
            <w:tcBorders>
              <w:left w:val="nil"/>
              <w:right w:val="nil"/>
            </w:tcBorders>
            <w:tcMar>
              <w:top w:w="96" w:type="dxa"/>
              <w:left w:w="144" w:type="dxa"/>
              <w:bottom w:w="96" w:type="dxa"/>
              <w:right w:w="144" w:type="dxa"/>
            </w:tcMar>
            <w:vAlign w:val="center"/>
          </w:tcPr>
          <w:p w14:paraId="3E655965">
            <w:pPr>
              <w:spacing w:before="52" w:after="52" w:line="240" w:lineRule="auto"/>
              <w:jc w:val="left"/>
            </w:pPr>
            <w:r>
              <w:rPr>
                <w:sz w:val="21"/>
              </w:rPr>
              <w:t>Spearman-Brown 系数</w:t>
            </w:r>
          </w:p>
        </w:tc>
        <w:tc>
          <w:tcPr>
            <w:tcW w:w="1728" w:type="dxa"/>
            <w:tcBorders>
              <w:left w:val="nil"/>
              <w:right w:val="nil"/>
            </w:tcBorders>
            <w:tcMar>
              <w:top w:w="96" w:type="dxa"/>
              <w:left w:w="144" w:type="dxa"/>
              <w:bottom w:w="96" w:type="dxa"/>
              <w:right w:w="144" w:type="dxa"/>
            </w:tcMar>
            <w:vAlign w:val="center"/>
          </w:tcPr>
          <w:p w14:paraId="5A8DD424">
            <w:pPr>
              <w:spacing w:before="52" w:after="52" w:line="240" w:lineRule="auto"/>
              <w:jc w:val="left"/>
            </w:pPr>
            <w:r>
              <w:rPr>
                <w:sz w:val="21"/>
              </w:rPr>
              <w:t>0.83</w:t>
            </w:r>
          </w:p>
        </w:tc>
        <w:tc>
          <w:tcPr>
            <w:tcW w:w="1728" w:type="dxa"/>
            <w:tcBorders>
              <w:left w:val="nil"/>
              <w:right w:val="nil"/>
            </w:tcBorders>
            <w:tcMar>
              <w:top w:w="96" w:type="dxa"/>
              <w:left w:w="144" w:type="dxa"/>
              <w:bottom w:w="96" w:type="dxa"/>
              <w:right w:w="144" w:type="dxa"/>
            </w:tcMar>
            <w:vAlign w:val="center"/>
          </w:tcPr>
          <w:p w14:paraId="3110DE4D">
            <w:pPr>
              <w:spacing w:before="52" w:after="52" w:line="240" w:lineRule="auto"/>
              <w:jc w:val="left"/>
            </w:pPr>
            <w:r>
              <w:rPr>
                <w:sz w:val="21"/>
              </w:rPr>
              <w:t>≥0.7 为可接受</w:t>
            </w:r>
          </w:p>
        </w:tc>
        <w:tc>
          <w:tcPr>
            <w:tcW w:w="1728" w:type="dxa"/>
            <w:tcBorders>
              <w:left w:val="nil"/>
              <w:right w:val="nil"/>
            </w:tcBorders>
            <w:tcMar>
              <w:top w:w="96" w:type="dxa"/>
              <w:left w:w="144" w:type="dxa"/>
              <w:bottom w:w="96" w:type="dxa"/>
              <w:right w:w="144" w:type="dxa"/>
            </w:tcMar>
            <w:vAlign w:val="center"/>
          </w:tcPr>
          <w:p w14:paraId="5057DD26">
            <w:pPr>
              <w:spacing w:before="52" w:after="52" w:line="240" w:lineRule="auto"/>
              <w:jc w:val="left"/>
            </w:pPr>
            <w:r>
              <w:rPr>
                <w:sz w:val="21"/>
              </w:rPr>
              <w:t>通过</w:t>
            </w:r>
          </w:p>
        </w:tc>
      </w:tr>
      <w:tr w14:paraId="0090B508">
        <w:tblPrEx>
          <w:tblCellMar>
            <w:top w:w="0" w:type="dxa"/>
            <w:left w:w="108" w:type="dxa"/>
            <w:bottom w:w="0" w:type="dxa"/>
            <w:right w:w="108" w:type="dxa"/>
          </w:tblCellMar>
        </w:tblPrEx>
        <w:tc>
          <w:tcPr>
            <w:tcW w:w="1728" w:type="dxa"/>
            <w:tcBorders>
              <w:left w:val="nil"/>
              <w:right w:val="nil"/>
            </w:tcBorders>
            <w:tcMar>
              <w:top w:w="96" w:type="dxa"/>
              <w:left w:w="144" w:type="dxa"/>
              <w:bottom w:w="96" w:type="dxa"/>
              <w:right w:w="144" w:type="dxa"/>
            </w:tcMar>
            <w:vAlign w:val="center"/>
          </w:tcPr>
          <w:p w14:paraId="20ABB0A6">
            <w:pPr>
              <w:spacing w:before="52" w:after="52" w:line="240" w:lineRule="auto"/>
              <w:jc w:val="left"/>
            </w:pPr>
            <w:r>
              <w:rPr>
                <w:sz w:val="21"/>
              </w:rPr>
              <w:t>收敛效度</w:t>
            </w:r>
          </w:p>
        </w:tc>
        <w:tc>
          <w:tcPr>
            <w:tcW w:w="1728" w:type="dxa"/>
            <w:tcBorders>
              <w:left w:val="nil"/>
              <w:right w:val="nil"/>
            </w:tcBorders>
            <w:tcMar>
              <w:top w:w="96" w:type="dxa"/>
              <w:left w:w="144" w:type="dxa"/>
              <w:bottom w:w="96" w:type="dxa"/>
              <w:right w:w="144" w:type="dxa"/>
            </w:tcMar>
            <w:vAlign w:val="center"/>
          </w:tcPr>
          <w:p w14:paraId="6195BAB4">
            <w:pPr>
              <w:spacing w:before="52" w:after="52" w:line="240" w:lineRule="auto"/>
              <w:jc w:val="left"/>
            </w:pPr>
            <w:r>
              <w:rPr>
                <w:sz w:val="21"/>
              </w:rPr>
              <w:t>与数字化无形资产占比相关系数</w:t>
            </w:r>
          </w:p>
        </w:tc>
        <w:tc>
          <w:tcPr>
            <w:tcW w:w="1728" w:type="dxa"/>
            <w:tcBorders>
              <w:left w:val="nil"/>
              <w:right w:val="nil"/>
            </w:tcBorders>
            <w:tcMar>
              <w:top w:w="96" w:type="dxa"/>
              <w:left w:w="144" w:type="dxa"/>
              <w:bottom w:w="96" w:type="dxa"/>
              <w:right w:w="144" w:type="dxa"/>
            </w:tcMar>
            <w:vAlign w:val="center"/>
          </w:tcPr>
          <w:p w14:paraId="53CCBC80">
            <w:pPr>
              <w:spacing w:before="52" w:after="52" w:line="240" w:lineRule="auto"/>
              <w:jc w:val="left"/>
            </w:pPr>
            <w:r>
              <w:rPr>
                <w:sz w:val="21"/>
              </w:rPr>
              <w:t>0.46</w:t>
            </w:r>
          </w:p>
        </w:tc>
        <w:tc>
          <w:tcPr>
            <w:tcW w:w="1728" w:type="dxa"/>
            <w:tcBorders>
              <w:left w:val="nil"/>
              <w:right w:val="nil"/>
            </w:tcBorders>
            <w:tcMar>
              <w:top w:w="96" w:type="dxa"/>
              <w:left w:w="144" w:type="dxa"/>
              <w:bottom w:w="96" w:type="dxa"/>
              <w:right w:w="144" w:type="dxa"/>
            </w:tcMar>
            <w:vAlign w:val="center"/>
          </w:tcPr>
          <w:p w14:paraId="5C54FE71">
            <w:pPr>
              <w:spacing w:before="52" w:after="52" w:line="240" w:lineRule="auto"/>
              <w:jc w:val="left"/>
            </w:pPr>
            <w:r>
              <w:rPr>
                <w:sz w:val="21"/>
              </w:rPr>
              <w:t>显著正相关</w:t>
            </w:r>
          </w:p>
        </w:tc>
        <w:tc>
          <w:tcPr>
            <w:tcW w:w="1728" w:type="dxa"/>
            <w:tcBorders>
              <w:left w:val="nil"/>
              <w:right w:val="nil"/>
            </w:tcBorders>
            <w:tcMar>
              <w:top w:w="96" w:type="dxa"/>
              <w:left w:w="144" w:type="dxa"/>
              <w:bottom w:w="96" w:type="dxa"/>
              <w:right w:w="144" w:type="dxa"/>
            </w:tcMar>
            <w:vAlign w:val="center"/>
          </w:tcPr>
          <w:p w14:paraId="2228CC0E">
            <w:pPr>
              <w:spacing w:before="52" w:after="52" w:line="240" w:lineRule="auto"/>
              <w:jc w:val="left"/>
            </w:pPr>
            <w:r>
              <w:rPr>
                <w:sz w:val="21"/>
              </w:rPr>
              <w:t>通过</w:t>
            </w:r>
          </w:p>
        </w:tc>
      </w:tr>
      <w:tr w14:paraId="2A8E93D0">
        <w:tblPrEx>
          <w:tblCellMar>
            <w:top w:w="0" w:type="dxa"/>
            <w:left w:w="108" w:type="dxa"/>
            <w:bottom w:w="0" w:type="dxa"/>
            <w:right w:w="108" w:type="dxa"/>
          </w:tblCellMar>
        </w:tblPrEx>
        <w:tc>
          <w:tcPr>
            <w:tcW w:w="1728" w:type="dxa"/>
            <w:tcBorders>
              <w:left w:val="nil"/>
              <w:right w:val="nil"/>
            </w:tcBorders>
            <w:tcMar>
              <w:top w:w="96" w:type="dxa"/>
              <w:left w:w="144" w:type="dxa"/>
              <w:bottom w:w="96" w:type="dxa"/>
              <w:right w:w="144" w:type="dxa"/>
            </w:tcMar>
            <w:vAlign w:val="center"/>
          </w:tcPr>
          <w:p w14:paraId="1100E282">
            <w:pPr>
              <w:spacing w:before="52" w:after="52" w:line="240" w:lineRule="auto"/>
              <w:jc w:val="left"/>
            </w:pPr>
            <w:r>
              <w:rPr>
                <w:sz w:val="21"/>
              </w:rPr>
              <w:t>收敛效度</w:t>
            </w:r>
          </w:p>
        </w:tc>
        <w:tc>
          <w:tcPr>
            <w:tcW w:w="1728" w:type="dxa"/>
            <w:tcBorders>
              <w:left w:val="nil"/>
              <w:right w:val="nil"/>
            </w:tcBorders>
            <w:tcMar>
              <w:top w:w="96" w:type="dxa"/>
              <w:left w:w="144" w:type="dxa"/>
              <w:bottom w:w="96" w:type="dxa"/>
              <w:right w:w="144" w:type="dxa"/>
            </w:tcMar>
            <w:vAlign w:val="center"/>
          </w:tcPr>
          <w:p w14:paraId="432AAC64">
            <w:pPr>
              <w:spacing w:before="52" w:after="52" w:line="240" w:lineRule="auto"/>
              <w:jc w:val="left"/>
            </w:pPr>
            <w:r>
              <w:rPr>
                <w:sz w:val="21"/>
              </w:rPr>
              <w:t>与 IT 人员占比相关系数</w:t>
            </w:r>
          </w:p>
        </w:tc>
        <w:tc>
          <w:tcPr>
            <w:tcW w:w="1728" w:type="dxa"/>
            <w:tcBorders>
              <w:left w:val="nil"/>
              <w:right w:val="nil"/>
            </w:tcBorders>
            <w:tcMar>
              <w:top w:w="96" w:type="dxa"/>
              <w:left w:w="144" w:type="dxa"/>
              <w:bottom w:w="96" w:type="dxa"/>
              <w:right w:w="144" w:type="dxa"/>
            </w:tcMar>
            <w:vAlign w:val="center"/>
          </w:tcPr>
          <w:p w14:paraId="07103DBC">
            <w:pPr>
              <w:spacing w:before="52" w:after="52" w:line="240" w:lineRule="auto"/>
              <w:jc w:val="left"/>
            </w:pPr>
            <w:r>
              <w:rPr>
                <w:sz w:val="21"/>
              </w:rPr>
              <w:t>0.39</w:t>
            </w:r>
          </w:p>
        </w:tc>
        <w:tc>
          <w:tcPr>
            <w:tcW w:w="1728" w:type="dxa"/>
            <w:tcBorders>
              <w:left w:val="nil"/>
              <w:right w:val="nil"/>
            </w:tcBorders>
            <w:tcMar>
              <w:top w:w="96" w:type="dxa"/>
              <w:left w:w="144" w:type="dxa"/>
              <w:bottom w:w="96" w:type="dxa"/>
              <w:right w:w="144" w:type="dxa"/>
            </w:tcMar>
            <w:vAlign w:val="center"/>
          </w:tcPr>
          <w:p w14:paraId="47516851">
            <w:pPr>
              <w:spacing w:before="52" w:after="52" w:line="240" w:lineRule="auto"/>
              <w:jc w:val="left"/>
            </w:pPr>
            <w:r>
              <w:rPr>
                <w:sz w:val="21"/>
              </w:rPr>
              <w:t>显著正相关</w:t>
            </w:r>
          </w:p>
        </w:tc>
        <w:tc>
          <w:tcPr>
            <w:tcW w:w="1728" w:type="dxa"/>
            <w:tcBorders>
              <w:left w:val="nil"/>
              <w:right w:val="nil"/>
            </w:tcBorders>
            <w:tcMar>
              <w:top w:w="96" w:type="dxa"/>
              <w:left w:w="144" w:type="dxa"/>
              <w:bottom w:w="96" w:type="dxa"/>
              <w:right w:w="144" w:type="dxa"/>
            </w:tcMar>
            <w:vAlign w:val="center"/>
          </w:tcPr>
          <w:p w14:paraId="2031EEFF">
            <w:pPr>
              <w:spacing w:before="52" w:after="52" w:line="240" w:lineRule="auto"/>
              <w:jc w:val="left"/>
            </w:pPr>
            <w:r>
              <w:rPr>
                <w:sz w:val="21"/>
              </w:rPr>
              <w:t>通过</w:t>
            </w:r>
          </w:p>
        </w:tc>
      </w:tr>
      <w:tr w14:paraId="41422ADF">
        <w:tblPrEx>
          <w:tblCellMar>
            <w:top w:w="0" w:type="dxa"/>
            <w:left w:w="108" w:type="dxa"/>
            <w:bottom w:w="0" w:type="dxa"/>
            <w:right w:w="108" w:type="dxa"/>
          </w:tblCellMar>
        </w:tblPrEx>
        <w:tc>
          <w:tcPr>
            <w:tcW w:w="1728" w:type="dxa"/>
            <w:tcBorders>
              <w:left w:val="nil"/>
              <w:bottom w:val="single" w:color="000000" w:sz="12" w:space="0"/>
              <w:right w:val="nil"/>
            </w:tcBorders>
            <w:tcMar>
              <w:top w:w="96" w:type="dxa"/>
              <w:left w:w="144" w:type="dxa"/>
              <w:bottom w:w="96" w:type="dxa"/>
              <w:right w:w="144" w:type="dxa"/>
            </w:tcMar>
            <w:vAlign w:val="center"/>
          </w:tcPr>
          <w:p w14:paraId="41AC1EB3">
            <w:pPr>
              <w:spacing w:before="52" w:after="52" w:line="240" w:lineRule="auto"/>
              <w:jc w:val="left"/>
            </w:pPr>
            <w:r>
              <w:rPr>
                <w:sz w:val="21"/>
              </w:rPr>
              <w:t>维度结构</w:t>
            </w:r>
          </w:p>
        </w:tc>
        <w:tc>
          <w:tcPr>
            <w:tcW w:w="1728" w:type="dxa"/>
            <w:tcBorders>
              <w:left w:val="nil"/>
              <w:bottom w:val="single" w:color="000000" w:sz="12" w:space="0"/>
              <w:right w:val="nil"/>
            </w:tcBorders>
            <w:tcMar>
              <w:top w:w="96" w:type="dxa"/>
              <w:left w:w="144" w:type="dxa"/>
              <w:bottom w:w="96" w:type="dxa"/>
              <w:right w:w="144" w:type="dxa"/>
            </w:tcMar>
            <w:vAlign w:val="center"/>
          </w:tcPr>
          <w:p w14:paraId="2F68A8CC">
            <w:pPr>
              <w:spacing w:before="52" w:after="52" w:line="240" w:lineRule="auto"/>
              <w:jc w:val="left"/>
            </w:pPr>
            <w:r>
              <w:rPr>
                <w:sz w:val="21"/>
              </w:rPr>
              <w:t>维度间相关系数区间</w:t>
            </w:r>
          </w:p>
        </w:tc>
        <w:tc>
          <w:tcPr>
            <w:tcW w:w="1728" w:type="dxa"/>
            <w:tcBorders>
              <w:left w:val="nil"/>
              <w:bottom w:val="single" w:color="000000" w:sz="12" w:space="0"/>
              <w:right w:val="nil"/>
            </w:tcBorders>
            <w:tcMar>
              <w:top w:w="96" w:type="dxa"/>
              <w:left w:w="144" w:type="dxa"/>
              <w:bottom w:w="96" w:type="dxa"/>
              <w:right w:w="144" w:type="dxa"/>
            </w:tcMar>
            <w:vAlign w:val="center"/>
          </w:tcPr>
          <w:p w14:paraId="4C5B3F73">
            <w:pPr>
              <w:spacing w:before="52" w:after="52" w:line="240" w:lineRule="auto"/>
              <w:jc w:val="left"/>
            </w:pPr>
            <w:r>
              <w:rPr>
                <w:sz w:val="21"/>
              </w:rPr>
              <w:t>0.31—0.58</w:t>
            </w:r>
          </w:p>
        </w:tc>
        <w:tc>
          <w:tcPr>
            <w:tcW w:w="1728" w:type="dxa"/>
            <w:tcBorders>
              <w:left w:val="nil"/>
              <w:bottom w:val="single" w:color="000000" w:sz="12" w:space="0"/>
              <w:right w:val="nil"/>
            </w:tcBorders>
            <w:tcMar>
              <w:top w:w="96" w:type="dxa"/>
              <w:left w:w="144" w:type="dxa"/>
              <w:bottom w:w="96" w:type="dxa"/>
              <w:right w:w="144" w:type="dxa"/>
            </w:tcMar>
            <w:vAlign w:val="center"/>
          </w:tcPr>
          <w:p w14:paraId="15D32FC3">
            <w:pPr>
              <w:spacing w:before="52" w:after="52" w:line="240" w:lineRule="auto"/>
              <w:jc w:val="left"/>
            </w:pPr>
            <w:r>
              <w:rPr>
                <w:sz w:val="21"/>
              </w:rPr>
              <w:t>&lt;0.7 避免重合</w:t>
            </w:r>
          </w:p>
        </w:tc>
        <w:tc>
          <w:tcPr>
            <w:tcW w:w="1728" w:type="dxa"/>
            <w:tcBorders>
              <w:left w:val="nil"/>
              <w:bottom w:val="single" w:color="000000" w:sz="12" w:space="0"/>
              <w:right w:val="nil"/>
            </w:tcBorders>
            <w:tcMar>
              <w:top w:w="96" w:type="dxa"/>
              <w:left w:w="144" w:type="dxa"/>
              <w:bottom w:w="96" w:type="dxa"/>
              <w:right w:w="144" w:type="dxa"/>
            </w:tcMar>
            <w:vAlign w:val="center"/>
          </w:tcPr>
          <w:p w14:paraId="68752A0F">
            <w:pPr>
              <w:spacing w:before="52" w:after="52" w:line="240" w:lineRule="auto"/>
              <w:jc w:val="left"/>
            </w:pPr>
            <w:r>
              <w:rPr>
                <w:sz w:val="21"/>
              </w:rPr>
              <w:t>通过</w:t>
            </w:r>
          </w:p>
        </w:tc>
      </w:tr>
    </w:tbl>
    <w:p w14:paraId="5BCCB939">
      <w:pPr>
        <w:ind w:firstLine="480"/>
        <w:jc w:val="both"/>
      </w:pPr>
      <w:r>
        <w:rPr>
          <w:rFonts w:hint="eastAsia" w:ascii="宋体" w:hAnsi="宋体" w:eastAsia="宋体" w:cs="宋体"/>
          <w:lang w:eastAsia="zh-CN"/>
        </w:rPr>
        <w:t>综合上述检验，本文构建的</w:t>
      </w:r>
      <w:r>
        <w:t>DTI</w:t>
      </w:r>
      <w:r>
        <w:rPr>
          <w:rFonts w:hint="eastAsia" w:ascii="宋体" w:hAnsi="宋体" w:eastAsia="宋体" w:cs="宋体"/>
          <w:lang w:eastAsia="zh-CN"/>
        </w:rPr>
        <w:t>测度达到了心理测量学对</w:t>
      </w:r>
      <w:r>
        <w:t>"</w:t>
      </w:r>
      <w:r>
        <w:rPr>
          <w:rFonts w:hint="eastAsia" w:ascii="宋体" w:hAnsi="宋体" w:eastAsia="宋体" w:cs="宋体"/>
          <w:lang w:eastAsia="zh-CN"/>
        </w:rPr>
        <w:t>良好量表</w:t>
      </w:r>
      <w:r>
        <w:t>"</w:t>
      </w:r>
      <w:r>
        <w:rPr>
          <w:rFonts w:hint="eastAsia" w:ascii="宋体" w:hAnsi="宋体" w:eastAsia="宋体" w:cs="宋体"/>
          <w:lang w:eastAsia="zh-CN"/>
        </w:rPr>
        <w:t>的基本要求，可用于后续经济后果分析。</w:t>
      </w:r>
    </w:p>
    <w:p w14:paraId="3011C63A">
      <w:pPr>
        <w:pStyle w:val="5"/>
      </w:pPr>
      <w:bookmarkStart w:id="31" w:name="sec-3-3"/>
      <w:bookmarkEnd w:id="31"/>
      <w:bookmarkStart w:id="32" w:name="_Toc_sec_3_3"/>
      <w:r>
        <w:rPr>
          <w:rFonts w:hint="eastAsia" w:ascii="宋体" w:hAnsi="宋体" w:eastAsia="宋体" w:cs="宋体"/>
          <w:b/>
          <w:sz w:val="24"/>
          <w:lang w:eastAsia="zh-CN"/>
        </w:rPr>
        <w:t>（三）相关性分析</w:t>
      </w:r>
      <w:bookmarkEnd w:id="32"/>
    </w:p>
    <w:p w14:paraId="27C6E8FC">
      <w:pPr>
        <w:ind w:firstLine="480"/>
        <w:jc w:val="both"/>
      </w:pPr>
      <w:r>
        <w:t>Pearson</w:t>
      </w:r>
      <w:r>
        <w:rPr>
          <w:rFonts w:hint="eastAsia" w:ascii="宋体" w:hAnsi="宋体" w:eastAsia="宋体" w:cs="宋体"/>
          <w:lang w:eastAsia="zh-CN"/>
        </w:rPr>
        <w:t>相关分析显示，</w:t>
      </w:r>
      <w:r>
        <w:t>DTI</w:t>
      </w:r>
      <w:r>
        <w:rPr>
          <w:rFonts w:hint="eastAsia" w:ascii="宋体" w:hAnsi="宋体" w:eastAsia="宋体" w:cs="宋体"/>
          <w:lang w:eastAsia="zh-CN"/>
        </w:rPr>
        <w:t>与</w:t>
      </w:r>
      <w:r>
        <w:t>ROA</w:t>
      </w:r>
      <w:r>
        <w:rPr>
          <w:rFonts w:hint="eastAsia" w:ascii="宋体" w:hAnsi="宋体" w:eastAsia="宋体" w:cs="宋体"/>
          <w:lang w:eastAsia="zh-CN"/>
        </w:rPr>
        <w:t>的相关系数为</w:t>
      </w:r>
      <w:r>
        <w:t>0.23</w:t>
      </w:r>
      <w:r>
        <w:rPr>
          <w:rFonts w:hint="eastAsia" w:ascii="宋体" w:hAnsi="宋体" w:eastAsia="宋体" w:cs="宋体"/>
          <w:lang w:eastAsia="zh-CN"/>
        </w:rPr>
        <w:t>（</w:t>
      </w:r>
      <w:r>
        <w:t>p&lt;0.01</w:t>
      </w:r>
      <w:r>
        <w:rPr>
          <w:rFonts w:hint="eastAsia" w:ascii="宋体" w:hAnsi="宋体" w:eastAsia="宋体" w:cs="宋体"/>
          <w:lang w:eastAsia="zh-CN"/>
        </w:rPr>
        <w:t>），初步支持数字化转型与企业绩效的正相关关系；控制变量之间相关系数绝对值最大为</w:t>
      </w:r>
      <w:r>
        <w:t>0.41</w:t>
      </w:r>
      <w:r>
        <w:rPr>
          <w:rFonts w:hint="eastAsia" w:ascii="宋体" w:hAnsi="宋体" w:eastAsia="宋体" w:cs="宋体"/>
          <w:lang w:eastAsia="zh-CN"/>
        </w:rPr>
        <w:t>（</w:t>
      </w:r>
      <w:r>
        <w:t>Size</w:t>
      </w:r>
      <w:r>
        <w:rPr>
          <w:rFonts w:hint="eastAsia" w:ascii="宋体" w:hAnsi="宋体" w:eastAsia="宋体" w:cs="宋体"/>
          <w:lang w:eastAsia="zh-CN"/>
        </w:rPr>
        <w:t>与</w:t>
      </w:r>
      <w:r>
        <w:t>Lev</w:t>
      </w:r>
      <w:r>
        <w:rPr>
          <w:rFonts w:hint="eastAsia" w:ascii="宋体" w:hAnsi="宋体" w:eastAsia="宋体" w:cs="宋体"/>
          <w:lang w:eastAsia="zh-CN"/>
        </w:rPr>
        <w:t>），低于</w:t>
      </w:r>
      <w:r>
        <w:t>0.5</w:t>
      </w:r>
      <w:r>
        <w:rPr>
          <w:rFonts w:hint="eastAsia" w:ascii="宋体" w:hAnsi="宋体" w:eastAsia="宋体" w:cs="宋体"/>
          <w:lang w:eastAsia="zh-CN"/>
        </w:rPr>
        <w:t>的多重共线性警戒线。进一步计算方差膨胀因子（</w:t>
      </w:r>
      <w:r>
        <w:t>VIF</w:t>
      </w:r>
      <w:r>
        <w:rPr>
          <w:rFonts w:hint="eastAsia" w:ascii="宋体" w:hAnsi="宋体" w:eastAsia="宋体" w:cs="宋体"/>
          <w:lang w:eastAsia="zh-CN"/>
        </w:rPr>
        <w:t>），所有变量</w:t>
      </w:r>
      <w:r>
        <w:t>VIF</w:t>
      </w:r>
      <w:r>
        <w:rPr>
          <w:rFonts w:hint="eastAsia" w:ascii="宋体" w:hAnsi="宋体" w:eastAsia="宋体" w:cs="宋体"/>
          <w:lang w:eastAsia="zh-CN"/>
        </w:rPr>
        <w:t>最大值为</w:t>
      </w:r>
      <w:r>
        <w:t>2.13</w:t>
      </w:r>
      <w:r>
        <w:rPr>
          <w:rFonts w:hint="eastAsia" w:ascii="宋体" w:hAnsi="宋体" w:eastAsia="宋体" w:cs="宋体"/>
          <w:lang w:eastAsia="zh-CN"/>
        </w:rPr>
        <w:t>，均值</w:t>
      </w:r>
      <w:r>
        <w:t>1.36</w:t>
      </w:r>
      <w:r>
        <w:rPr>
          <w:rFonts w:hint="eastAsia" w:ascii="宋体" w:hAnsi="宋体" w:eastAsia="宋体" w:cs="宋体"/>
          <w:lang w:eastAsia="zh-CN"/>
        </w:rPr>
        <w:t>，远小于</w:t>
      </w:r>
      <w:r>
        <w:t>10</w:t>
      </w:r>
      <w:r>
        <w:rPr>
          <w:rFonts w:hint="eastAsia" w:ascii="宋体" w:hAnsi="宋体" w:eastAsia="宋体" w:cs="宋体"/>
          <w:lang w:eastAsia="zh-CN"/>
        </w:rPr>
        <w:t>，表明模型不存在严重的多重共线性问题。</w:t>
      </w:r>
    </w:p>
    <w:p w14:paraId="69F0FFBC">
      <w:pPr>
        <w:pStyle w:val="5"/>
      </w:pPr>
      <w:bookmarkStart w:id="33" w:name="sec-3-4"/>
      <w:bookmarkEnd w:id="33"/>
      <w:bookmarkStart w:id="34" w:name="_Toc_sec_3_4"/>
      <w:r>
        <w:rPr>
          <w:rFonts w:hint="eastAsia" w:ascii="宋体" w:hAnsi="宋体" w:eastAsia="宋体" w:cs="宋体"/>
          <w:b/>
          <w:sz w:val="24"/>
          <w:lang w:eastAsia="zh-CN"/>
        </w:rPr>
        <w:t>（四）基准回归分析</w:t>
      </w:r>
      <w:bookmarkEnd w:id="34"/>
    </w:p>
    <w:p w14:paraId="377DD784">
      <w:pPr>
        <w:ind w:firstLine="480"/>
        <w:jc w:val="both"/>
      </w:pPr>
      <w:r>
        <w:rPr>
          <w:rFonts w:hint="eastAsia" w:ascii="宋体" w:hAnsi="宋体" w:eastAsia="宋体" w:cs="宋体"/>
          <w:lang w:eastAsia="zh-CN"/>
        </w:rPr>
        <w:t>表</w:t>
      </w:r>
      <w:r>
        <w:t>4</w:t>
      </w:r>
      <w:r>
        <w:rPr>
          <w:rFonts w:hint="eastAsia" w:ascii="宋体" w:hAnsi="宋体" w:eastAsia="宋体" w:cs="宋体"/>
          <w:lang w:eastAsia="zh-CN"/>
        </w:rPr>
        <w:t>报告了面板回归结果。列（</w:t>
      </w:r>
      <w:r>
        <w:t>1</w:t>
      </w:r>
      <w:r>
        <w:rPr>
          <w:rFonts w:hint="eastAsia" w:ascii="宋体" w:hAnsi="宋体" w:eastAsia="宋体" w:cs="宋体"/>
          <w:lang w:eastAsia="zh-CN"/>
        </w:rPr>
        <w:t>）为仅包含</w:t>
      </w:r>
      <w:r>
        <w:t>DTI</w:t>
      </w:r>
      <w:r>
        <w:rPr>
          <w:rFonts w:hint="eastAsia" w:ascii="宋体" w:hAnsi="宋体" w:eastAsia="宋体" w:cs="宋体"/>
          <w:lang w:eastAsia="zh-CN"/>
        </w:rPr>
        <w:t>与常数项的混合</w:t>
      </w:r>
      <w:r>
        <w:t>OLS</w:t>
      </w:r>
      <w:r>
        <w:rPr>
          <w:rFonts w:hint="eastAsia" w:ascii="宋体" w:hAnsi="宋体" w:eastAsia="宋体" w:cs="宋体"/>
          <w:lang w:eastAsia="zh-CN"/>
        </w:rPr>
        <w:t>回归，</w:t>
      </w:r>
      <w:r>
        <w:t>DTI</w:t>
      </w:r>
      <w:r>
        <w:rPr>
          <w:rFonts w:hint="eastAsia" w:ascii="宋体" w:hAnsi="宋体" w:eastAsia="宋体" w:cs="宋体"/>
          <w:lang w:eastAsia="zh-CN"/>
        </w:rPr>
        <w:t>系数为</w:t>
      </w:r>
      <w:r>
        <w:t>0.281</w:t>
      </w:r>
      <w:r>
        <w:rPr>
          <w:rFonts w:hint="eastAsia" w:ascii="宋体" w:hAnsi="宋体" w:eastAsia="宋体" w:cs="宋体"/>
          <w:lang w:eastAsia="zh-CN"/>
        </w:rPr>
        <w:t>（</w:t>
      </w:r>
      <w:r>
        <w:t>t=6.42</w:t>
      </w:r>
      <w:r>
        <w:rPr>
          <w:rFonts w:hint="eastAsia" w:ascii="宋体" w:hAnsi="宋体" w:eastAsia="宋体" w:cs="宋体"/>
          <w:lang w:eastAsia="zh-CN"/>
        </w:rPr>
        <w:t>，</w:t>
      </w:r>
      <w:r>
        <w:t>p&lt;0.01</w:t>
      </w:r>
      <w:r>
        <w:rPr>
          <w:rFonts w:hint="eastAsia" w:ascii="宋体" w:hAnsi="宋体" w:eastAsia="宋体" w:cs="宋体"/>
          <w:lang w:eastAsia="zh-CN"/>
        </w:rPr>
        <w:t>）；列（</w:t>
      </w:r>
      <w:r>
        <w:t>2</w:t>
      </w:r>
      <w:r>
        <w:rPr>
          <w:rFonts w:hint="eastAsia" w:ascii="宋体" w:hAnsi="宋体" w:eastAsia="宋体" w:cs="宋体"/>
          <w:lang w:eastAsia="zh-CN"/>
        </w:rPr>
        <w:t>）加入全部控制变量，</w:t>
      </w:r>
      <w:r>
        <w:t>DTI</w:t>
      </w:r>
      <w:r>
        <w:rPr>
          <w:rFonts w:hint="eastAsia" w:ascii="宋体" w:hAnsi="宋体" w:eastAsia="宋体" w:cs="宋体"/>
          <w:lang w:eastAsia="zh-CN"/>
        </w:rPr>
        <w:t>系数为</w:t>
      </w:r>
      <w:r>
        <w:t>0.246</w:t>
      </w:r>
      <w:r>
        <w:rPr>
          <w:rFonts w:hint="eastAsia" w:ascii="宋体" w:hAnsi="宋体" w:eastAsia="宋体" w:cs="宋体"/>
          <w:lang w:eastAsia="zh-CN"/>
        </w:rPr>
        <w:t>（</w:t>
      </w:r>
      <w:r>
        <w:t>t=5.87</w:t>
      </w:r>
      <w:r>
        <w:rPr>
          <w:rFonts w:hint="eastAsia" w:ascii="宋体" w:hAnsi="宋体" w:eastAsia="宋体" w:cs="宋体"/>
          <w:lang w:eastAsia="zh-CN"/>
        </w:rPr>
        <w:t>，</w:t>
      </w:r>
      <w:r>
        <w:t>p&lt;0.01</w:t>
      </w:r>
      <w:r>
        <w:rPr>
          <w:rFonts w:hint="eastAsia" w:ascii="宋体" w:hAnsi="宋体" w:eastAsia="宋体" w:cs="宋体"/>
          <w:lang w:eastAsia="zh-CN"/>
        </w:rPr>
        <w:t>）；列（</w:t>
      </w:r>
      <w:r>
        <w:t>3</w:t>
      </w:r>
      <w:r>
        <w:rPr>
          <w:rFonts w:hint="eastAsia" w:ascii="宋体" w:hAnsi="宋体" w:eastAsia="宋体" w:cs="宋体"/>
          <w:lang w:eastAsia="zh-CN"/>
        </w:rPr>
        <w:t>）进一步控制个体与年度固定效应，</w:t>
      </w:r>
      <w:r>
        <w:t>DTI</w:t>
      </w:r>
      <w:r>
        <w:rPr>
          <w:rFonts w:hint="eastAsia" w:ascii="宋体" w:hAnsi="宋体" w:eastAsia="宋体" w:cs="宋体"/>
          <w:lang w:eastAsia="zh-CN"/>
        </w:rPr>
        <w:t>系数为</w:t>
      </w:r>
      <w:r>
        <w:t>0.132</w:t>
      </w:r>
      <w:r>
        <w:rPr>
          <w:rFonts w:hint="eastAsia" w:ascii="宋体" w:hAnsi="宋体" w:eastAsia="宋体" w:cs="宋体"/>
          <w:lang w:eastAsia="zh-CN"/>
        </w:rPr>
        <w:t>（</w:t>
      </w:r>
      <w:r>
        <w:t>t=3.15</w:t>
      </w:r>
      <w:r>
        <w:rPr>
          <w:rFonts w:hint="eastAsia" w:ascii="宋体" w:hAnsi="宋体" w:eastAsia="宋体" w:cs="宋体"/>
          <w:lang w:eastAsia="zh-CN"/>
        </w:rPr>
        <w:t>，</w:t>
      </w:r>
      <w:r>
        <w:t>p&lt;0.01</w:t>
      </w:r>
      <w:r>
        <w:rPr>
          <w:rFonts w:hint="eastAsia" w:ascii="宋体" w:hAnsi="宋体" w:eastAsia="宋体" w:cs="宋体"/>
          <w:lang w:eastAsia="zh-CN"/>
        </w:rPr>
        <w:t>），经济含义为：数字化转型指数每提高</w:t>
      </w:r>
      <w:r>
        <w:t>1</w:t>
      </w:r>
      <w:r>
        <w:rPr>
          <w:rFonts w:hint="eastAsia" w:ascii="宋体" w:hAnsi="宋体" w:eastAsia="宋体" w:cs="宋体"/>
          <w:lang w:eastAsia="zh-CN"/>
        </w:rPr>
        <w:t>个标准差（</w:t>
      </w:r>
      <w:r>
        <w:t>1.62%</w:t>
      </w:r>
      <w:r>
        <w:rPr>
          <w:rFonts w:hint="eastAsia" w:ascii="宋体" w:hAnsi="宋体" w:eastAsia="宋体" w:cs="宋体"/>
          <w:lang w:eastAsia="zh-CN"/>
        </w:rPr>
        <w:t>），</w:t>
      </w:r>
      <w:r>
        <w:t>ROA</w:t>
      </w:r>
      <w:r>
        <w:rPr>
          <w:rFonts w:hint="eastAsia" w:ascii="宋体" w:hAnsi="宋体" w:eastAsia="宋体" w:cs="宋体"/>
          <w:lang w:eastAsia="zh-CN"/>
        </w:rPr>
        <w:t>平均提升约</w:t>
      </w:r>
      <w:r>
        <w:t>0.21</w:t>
      </w:r>
      <w:r>
        <w:rPr>
          <w:rFonts w:hint="eastAsia" w:ascii="宋体" w:hAnsi="宋体" w:eastAsia="宋体" w:cs="宋体"/>
          <w:lang w:eastAsia="zh-CN"/>
        </w:rPr>
        <w:t>个百分点（</w:t>
      </w:r>
      <w:r>
        <w:t>0.132×1.62</w:t>
      </w:r>
      <w:r>
        <w:rPr>
          <w:rFonts w:hint="eastAsia" w:ascii="宋体" w:hAnsi="宋体" w:eastAsia="宋体" w:cs="宋体"/>
          <w:lang w:eastAsia="zh-CN"/>
        </w:rPr>
        <w:t>），相对于</w:t>
      </w:r>
      <w:r>
        <w:t>ROA</w:t>
      </w:r>
      <w:r>
        <w:rPr>
          <w:rFonts w:hint="eastAsia" w:ascii="宋体" w:hAnsi="宋体" w:eastAsia="宋体" w:cs="宋体"/>
          <w:lang w:eastAsia="zh-CN"/>
        </w:rPr>
        <w:t>均值</w:t>
      </w:r>
      <w:r>
        <w:t>4.31%</w:t>
      </w:r>
      <w:r>
        <w:rPr>
          <w:rFonts w:hint="eastAsia" w:ascii="宋体" w:hAnsi="宋体" w:eastAsia="宋体" w:cs="宋体"/>
          <w:lang w:eastAsia="zh-CN"/>
        </w:rPr>
        <w:t>而言提升幅度约</w:t>
      </w:r>
      <w:r>
        <w:t>5.0%</w:t>
      </w:r>
      <w:r>
        <w:rPr>
          <w:rFonts w:hint="eastAsia" w:ascii="宋体" w:hAnsi="宋体" w:eastAsia="宋体" w:cs="宋体"/>
          <w:lang w:eastAsia="zh-CN"/>
        </w:rPr>
        <w:t>，具有统计显著性与经济意义。控制变量中，企业规模与</w:t>
      </w:r>
      <w:r>
        <w:t>ROA</w:t>
      </w:r>
      <w:r>
        <w:rPr>
          <w:rFonts w:hint="eastAsia" w:ascii="宋体" w:hAnsi="宋体" w:eastAsia="宋体" w:cs="宋体"/>
          <w:lang w:eastAsia="zh-CN"/>
        </w:rPr>
        <w:t>显著负相关，可能与规模扩张的边际报酬递减有关；资产负债率显著为负，符合高杠杆侵蚀盈利的常识；成长性与</w:t>
      </w:r>
      <w:r>
        <w:t>ROA</w:t>
      </w:r>
      <w:r>
        <w:rPr>
          <w:rFonts w:hint="eastAsia" w:ascii="宋体" w:hAnsi="宋体" w:eastAsia="宋体" w:cs="宋体"/>
          <w:lang w:eastAsia="zh-CN"/>
        </w:rPr>
        <w:t>显著正相关。</w:t>
      </w:r>
    </w:p>
    <w:tbl>
      <w:tblPr>
        <w:tblStyle w:val="32"/>
        <w:tblW w:w="5000" w:type="pct"/>
        <w:tblInd w:w="0" w:type="dxa"/>
        <w:tblLayout w:type="autofit"/>
        <w:tblCellMar>
          <w:top w:w="0" w:type="dxa"/>
          <w:left w:w="108" w:type="dxa"/>
          <w:bottom w:w="0" w:type="dxa"/>
          <w:right w:w="108" w:type="dxa"/>
        </w:tblCellMar>
      </w:tblPr>
      <w:tblGrid>
        <w:gridCol w:w="2269"/>
        <w:gridCol w:w="2269"/>
        <w:gridCol w:w="2269"/>
        <w:gridCol w:w="2269"/>
      </w:tblGrid>
      <w:tr w14:paraId="798DD280">
        <w:tblPrEx>
          <w:tblCellMar>
            <w:top w:w="0" w:type="dxa"/>
            <w:left w:w="108" w:type="dxa"/>
            <w:bottom w:w="0" w:type="dxa"/>
            <w:right w:w="108" w:type="dxa"/>
          </w:tblCellMar>
        </w:tblPrEx>
        <w:tc>
          <w:tcPr>
            <w:tcW w:w="2160"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1CA2C309">
            <w:pPr>
              <w:spacing w:before="52" w:after="52" w:line="240" w:lineRule="auto"/>
              <w:jc w:val="left"/>
            </w:pPr>
            <w:r>
              <w:rPr>
                <w:b/>
                <w:sz w:val="21"/>
              </w:rPr>
              <w:t>变量</w:t>
            </w:r>
          </w:p>
        </w:tc>
        <w:tc>
          <w:tcPr>
            <w:tcW w:w="2160"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5438054A">
            <w:pPr>
              <w:spacing w:before="52" w:after="52" w:line="240" w:lineRule="auto"/>
              <w:jc w:val="left"/>
            </w:pPr>
            <w:r>
              <w:rPr>
                <w:b/>
                <w:sz w:val="21"/>
              </w:rPr>
              <w:t>（ 1 ）混合 OLS</w:t>
            </w:r>
          </w:p>
        </w:tc>
        <w:tc>
          <w:tcPr>
            <w:tcW w:w="2160"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6271B347">
            <w:pPr>
              <w:spacing w:before="52" w:after="52" w:line="240" w:lineRule="auto"/>
              <w:jc w:val="left"/>
            </w:pPr>
            <w:r>
              <w:rPr>
                <w:b/>
                <w:sz w:val="21"/>
              </w:rPr>
              <w:t>（ 2 ）加入控制变量</w:t>
            </w:r>
          </w:p>
        </w:tc>
        <w:tc>
          <w:tcPr>
            <w:tcW w:w="2160" w:type="dxa"/>
            <w:tcBorders>
              <w:top w:val="single" w:color="000000" w:sz="12" w:space="0"/>
              <w:left w:val="nil"/>
              <w:bottom w:val="single" w:color="000000" w:sz="6" w:space="0"/>
              <w:right w:val="nil"/>
            </w:tcBorders>
            <w:tcMar>
              <w:top w:w="96" w:type="dxa"/>
              <w:left w:w="144" w:type="dxa"/>
              <w:bottom w:w="96" w:type="dxa"/>
              <w:right w:w="144" w:type="dxa"/>
            </w:tcMar>
            <w:vAlign w:val="center"/>
          </w:tcPr>
          <w:p w14:paraId="2F90B285">
            <w:pPr>
              <w:spacing w:before="52" w:after="52" w:line="240" w:lineRule="auto"/>
              <w:jc w:val="left"/>
            </w:pPr>
            <w:r>
              <w:rPr>
                <w:b/>
                <w:sz w:val="21"/>
              </w:rPr>
              <w:t>（ 3 ）双向固定效应</w:t>
            </w:r>
          </w:p>
        </w:tc>
      </w:tr>
      <w:tr w14:paraId="2D954BDE">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05897020">
            <w:pPr>
              <w:spacing w:before="52" w:after="52" w:line="240" w:lineRule="auto"/>
              <w:jc w:val="left"/>
            </w:pPr>
            <w:r>
              <w:rPr>
                <w:sz w:val="21"/>
              </w:rPr>
              <w:t>DTI</w:t>
            </w:r>
          </w:p>
        </w:tc>
        <w:tc>
          <w:tcPr>
            <w:tcW w:w="2160" w:type="dxa"/>
            <w:tcBorders>
              <w:left w:val="nil"/>
              <w:right w:val="nil"/>
            </w:tcBorders>
            <w:tcMar>
              <w:top w:w="96" w:type="dxa"/>
              <w:left w:w="144" w:type="dxa"/>
              <w:bottom w:w="96" w:type="dxa"/>
              <w:right w:w="144" w:type="dxa"/>
            </w:tcMar>
            <w:vAlign w:val="center"/>
          </w:tcPr>
          <w:p w14:paraId="41EE5760">
            <w:pPr>
              <w:spacing w:before="52" w:after="52" w:line="240" w:lineRule="auto"/>
              <w:jc w:val="left"/>
            </w:pPr>
            <w:r>
              <w:rPr>
                <w:sz w:val="21"/>
              </w:rPr>
              <w:t>0.281*** （ 6.42 ）</w:t>
            </w:r>
          </w:p>
        </w:tc>
        <w:tc>
          <w:tcPr>
            <w:tcW w:w="2160" w:type="dxa"/>
            <w:tcBorders>
              <w:left w:val="nil"/>
              <w:right w:val="nil"/>
            </w:tcBorders>
            <w:tcMar>
              <w:top w:w="96" w:type="dxa"/>
              <w:left w:w="144" w:type="dxa"/>
              <w:bottom w:w="96" w:type="dxa"/>
              <w:right w:w="144" w:type="dxa"/>
            </w:tcMar>
            <w:vAlign w:val="center"/>
          </w:tcPr>
          <w:p w14:paraId="169E7B04">
            <w:pPr>
              <w:spacing w:before="52" w:after="52" w:line="240" w:lineRule="auto"/>
              <w:jc w:val="left"/>
            </w:pPr>
            <w:r>
              <w:rPr>
                <w:sz w:val="21"/>
              </w:rPr>
              <w:t>0.246*** （ 5.87 ）</w:t>
            </w:r>
          </w:p>
        </w:tc>
        <w:tc>
          <w:tcPr>
            <w:tcW w:w="2160" w:type="dxa"/>
            <w:tcBorders>
              <w:left w:val="nil"/>
              <w:right w:val="nil"/>
            </w:tcBorders>
            <w:tcMar>
              <w:top w:w="96" w:type="dxa"/>
              <w:left w:w="144" w:type="dxa"/>
              <w:bottom w:w="96" w:type="dxa"/>
              <w:right w:w="144" w:type="dxa"/>
            </w:tcMar>
            <w:vAlign w:val="center"/>
          </w:tcPr>
          <w:p w14:paraId="50312D4E">
            <w:pPr>
              <w:spacing w:before="52" w:after="52" w:line="240" w:lineRule="auto"/>
              <w:jc w:val="left"/>
            </w:pPr>
            <w:r>
              <w:rPr>
                <w:sz w:val="21"/>
              </w:rPr>
              <w:t>0.132*** （ 3.15 ）</w:t>
            </w:r>
          </w:p>
        </w:tc>
      </w:tr>
      <w:tr w14:paraId="360E7ADE">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6CD3492B">
            <w:pPr>
              <w:spacing w:before="52" w:after="52" w:line="240" w:lineRule="auto"/>
              <w:jc w:val="left"/>
            </w:pPr>
            <w:r>
              <w:rPr>
                <w:sz w:val="21"/>
              </w:rPr>
              <w:t>Size</w:t>
            </w:r>
          </w:p>
        </w:tc>
        <w:tc>
          <w:tcPr>
            <w:tcW w:w="2160" w:type="dxa"/>
            <w:tcBorders>
              <w:left w:val="nil"/>
              <w:right w:val="nil"/>
            </w:tcBorders>
            <w:tcMar>
              <w:top w:w="96" w:type="dxa"/>
              <w:left w:w="144" w:type="dxa"/>
              <w:bottom w:w="96" w:type="dxa"/>
              <w:right w:w="144" w:type="dxa"/>
            </w:tcMar>
            <w:vAlign w:val="center"/>
          </w:tcPr>
          <w:p w14:paraId="29A41AF9">
            <w:pPr>
              <w:spacing w:before="52" w:after="52" w:line="240" w:lineRule="auto"/>
              <w:jc w:val="left"/>
            </w:pPr>
            <w:r>
              <w:rPr>
                <w:sz w:val="21"/>
              </w:rPr>
              <w:t>—</w:t>
            </w:r>
          </w:p>
        </w:tc>
        <w:tc>
          <w:tcPr>
            <w:tcW w:w="2160" w:type="dxa"/>
            <w:tcBorders>
              <w:left w:val="nil"/>
              <w:right w:val="nil"/>
            </w:tcBorders>
            <w:tcMar>
              <w:top w:w="96" w:type="dxa"/>
              <w:left w:w="144" w:type="dxa"/>
              <w:bottom w:w="96" w:type="dxa"/>
              <w:right w:w="144" w:type="dxa"/>
            </w:tcMar>
            <w:vAlign w:val="center"/>
          </w:tcPr>
          <w:p w14:paraId="59AA1EEA">
            <w:pPr>
              <w:spacing w:before="52" w:after="52" w:line="240" w:lineRule="auto"/>
              <w:jc w:val="left"/>
            </w:pPr>
            <w:r>
              <w:rPr>
                <w:sz w:val="21"/>
              </w:rPr>
              <w:t>-0.521*** （ -4.03 ）</w:t>
            </w:r>
          </w:p>
        </w:tc>
        <w:tc>
          <w:tcPr>
            <w:tcW w:w="2160" w:type="dxa"/>
            <w:tcBorders>
              <w:left w:val="nil"/>
              <w:right w:val="nil"/>
            </w:tcBorders>
            <w:tcMar>
              <w:top w:w="96" w:type="dxa"/>
              <w:left w:w="144" w:type="dxa"/>
              <w:bottom w:w="96" w:type="dxa"/>
              <w:right w:w="144" w:type="dxa"/>
            </w:tcMar>
            <w:vAlign w:val="center"/>
          </w:tcPr>
          <w:p w14:paraId="307A85C7">
            <w:pPr>
              <w:spacing w:before="52" w:after="52" w:line="240" w:lineRule="auto"/>
              <w:jc w:val="left"/>
            </w:pPr>
            <w:r>
              <w:rPr>
                <w:sz w:val="21"/>
              </w:rPr>
              <w:t>-0.687*** （ -3.56 ）</w:t>
            </w:r>
          </w:p>
        </w:tc>
      </w:tr>
      <w:tr w14:paraId="5F23AB8A">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648AFFDC">
            <w:pPr>
              <w:spacing w:before="52" w:after="52" w:line="240" w:lineRule="auto"/>
              <w:jc w:val="left"/>
            </w:pPr>
            <w:r>
              <w:rPr>
                <w:sz w:val="21"/>
              </w:rPr>
              <w:t>Lev</w:t>
            </w:r>
          </w:p>
        </w:tc>
        <w:tc>
          <w:tcPr>
            <w:tcW w:w="2160" w:type="dxa"/>
            <w:tcBorders>
              <w:left w:val="nil"/>
              <w:right w:val="nil"/>
            </w:tcBorders>
            <w:tcMar>
              <w:top w:w="96" w:type="dxa"/>
              <w:left w:w="144" w:type="dxa"/>
              <w:bottom w:w="96" w:type="dxa"/>
              <w:right w:w="144" w:type="dxa"/>
            </w:tcMar>
            <w:vAlign w:val="center"/>
          </w:tcPr>
          <w:p w14:paraId="292D9218">
            <w:pPr>
              <w:spacing w:before="52" w:after="52" w:line="240" w:lineRule="auto"/>
              <w:jc w:val="left"/>
            </w:pPr>
            <w:r>
              <w:rPr>
                <w:sz w:val="21"/>
              </w:rPr>
              <w:t>—</w:t>
            </w:r>
          </w:p>
        </w:tc>
        <w:tc>
          <w:tcPr>
            <w:tcW w:w="2160" w:type="dxa"/>
            <w:tcBorders>
              <w:left w:val="nil"/>
              <w:right w:val="nil"/>
            </w:tcBorders>
            <w:tcMar>
              <w:top w:w="96" w:type="dxa"/>
              <w:left w:w="144" w:type="dxa"/>
              <w:bottom w:w="96" w:type="dxa"/>
              <w:right w:w="144" w:type="dxa"/>
            </w:tcMar>
            <w:vAlign w:val="center"/>
          </w:tcPr>
          <w:p w14:paraId="58CA96B6">
            <w:pPr>
              <w:spacing w:before="52" w:after="52" w:line="240" w:lineRule="auto"/>
              <w:jc w:val="left"/>
            </w:pPr>
            <w:r>
              <w:rPr>
                <w:sz w:val="21"/>
              </w:rPr>
              <w:t>-0.038*** （ -7.12 ）</w:t>
            </w:r>
          </w:p>
        </w:tc>
        <w:tc>
          <w:tcPr>
            <w:tcW w:w="2160" w:type="dxa"/>
            <w:tcBorders>
              <w:left w:val="nil"/>
              <w:right w:val="nil"/>
            </w:tcBorders>
            <w:tcMar>
              <w:top w:w="96" w:type="dxa"/>
              <w:left w:w="144" w:type="dxa"/>
              <w:bottom w:w="96" w:type="dxa"/>
              <w:right w:w="144" w:type="dxa"/>
            </w:tcMar>
            <w:vAlign w:val="center"/>
          </w:tcPr>
          <w:p w14:paraId="4EBA4291">
            <w:pPr>
              <w:spacing w:before="52" w:after="52" w:line="240" w:lineRule="auto"/>
              <w:jc w:val="left"/>
            </w:pPr>
            <w:r>
              <w:rPr>
                <w:sz w:val="21"/>
              </w:rPr>
              <w:t>-0.029*** （ -4.87 ）</w:t>
            </w:r>
          </w:p>
        </w:tc>
      </w:tr>
      <w:tr w14:paraId="70DA9CB0">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4E94DD44">
            <w:pPr>
              <w:spacing w:before="52" w:after="52" w:line="240" w:lineRule="auto"/>
              <w:jc w:val="left"/>
            </w:pPr>
            <w:r>
              <w:rPr>
                <w:sz w:val="21"/>
              </w:rPr>
              <w:t>Growth</w:t>
            </w:r>
          </w:p>
        </w:tc>
        <w:tc>
          <w:tcPr>
            <w:tcW w:w="2160" w:type="dxa"/>
            <w:tcBorders>
              <w:left w:val="nil"/>
              <w:right w:val="nil"/>
            </w:tcBorders>
            <w:tcMar>
              <w:top w:w="96" w:type="dxa"/>
              <w:left w:w="144" w:type="dxa"/>
              <w:bottom w:w="96" w:type="dxa"/>
              <w:right w:w="144" w:type="dxa"/>
            </w:tcMar>
            <w:vAlign w:val="center"/>
          </w:tcPr>
          <w:p w14:paraId="6F8DF956">
            <w:pPr>
              <w:spacing w:before="52" w:after="52" w:line="240" w:lineRule="auto"/>
              <w:jc w:val="left"/>
            </w:pPr>
            <w:r>
              <w:rPr>
                <w:sz w:val="21"/>
              </w:rPr>
              <w:t>—</w:t>
            </w:r>
          </w:p>
        </w:tc>
        <w:tc>
          <w:tcPr>
            <w:tcW w:w="2160" w:type="dxa"/>
            <w:tcBorders>
              <w:left w:val="nil"/>
              <w:right w:val="nil"/>
            </w:tcBorders>
            <w:tcMar>
              <w:top w:w="96" w:type="dxa"/>
              <w:left w:w="144" w:type="dxa"/>
              <w:bottom w:w="96" w:type="dxa"/>
              <w:right w:w="144" w:type="dxa"/>
            </w:tcMar>
            <w:vAlign w:val="center"/>
          </w:tcPr>
          <w:p w14:paraId="480DB68E">
            <w:pPr>
              <w:spacing w:before="52" w:after="52" w:line="240" w:lineRule="auto"/>
              <w:jc w:val="left"/>
            </w:pPr>
            <w:r>
              <w:rPr>
                <w:sz w:val="21"/>
              </w:rPr>
              <w:t>0.021*** （ 5.34 ）</w:t>
            </w:r>
          </w:p>
        </w:tc>
        <w:tc>
          <w:tcPr>
            <w:tcW w:w="2160" w:type="dxa"/>
            <w:tcBorders>
              <w:left w:val="nil"/>
              <w:right w:val="nil"/>
            </w:tcBorders>
            <w:tcMar>
              <w:top w:w="96" w:type="dxa"/>
              <w:left w:w="144" w:type="dxa"/>
              <w:bottom w:w="96" w:type="dxa"/>
              <w:right w:w="144" w:type="dxa"/>
            </w:tcMar>
            <w:vAlign w:val="center"/>
          </w:tcPr>
          <w:p w14:paraId="1E6DDEE5">
            <w:pPr>
              <w:spacing w:before="52" w:after="52" w:line="240" w:lineRule="auto"/>
              <w:jc w:val="left"/>
            </w:pPr>
            <w:r>
              <w:rPr>
                <w:sz w:val="21"/>
              </w:rPr>
              <w:t>0.018*** （ 4.62 ）</w:t>
            </w:r>
          </w:p>
        </w:tc>
      </w:tr>
      <w:tr w14:paraId="2027CC16">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0B2153B4">
            <w:pPr>
              <w:spacing w:before="52" w:after="52" w:line="240" w:lineRule="auto"/>
              <w:jc w:val="left"/>
            </w:pPr>
            <w:r>
              <w:rPr>
                <w:sz w:val="21"/>
              </w:rPr>
              <w:t>Top1</w:t>
            </w:r>
          </w:p>
        </w:tc>
        <w:tc>
          <w:tcPr>
            <w:tcW w:w="2160" w:type="dxa"/>
            <w:tcBorders>
              <w:left w:val="nil"/>
              <w:right w:val="nil"/>
            </w:tcBorders>
            <w:tcMar>
              <w:top w:w="96" w:type="dxa"/>
              <w:left w:w="144" w:type="dxa"/>
              <w:bottom w:w="96" w:type="dxa"/>
              <w:right w:w="144" w:type="dxa"/>
            </w:tcMar>
            <w:vAlign w:val="center"/>
          </w:tcPr>
          <w:p w14:paraId="310DFF5D">
            <w:pPr>
              <w:spacing w:before="52" w:after="52" w:line="240" w:lineRule="auto"/>
              <w:jc w:val="left"/>
            </w:pPr>
            <w:r>
              <w:rPr>
                <w:sz w:val="21"/>
              </w:rPr>
              <w:t>—</w:t>
            </w:r>
          </w:p>
        </w:tc>
        <w:tc>
          <w:tcPr>
            <w:tcW w:w="2160" w:type="dxa"/>
            <w:tcBorders>
              <w:left w:val="nil"/>
              <w:right w:val="nil"/>
            </w:tcBorders>
            <w:tcMar>
              <w:top w:w="96" w:type="dxa"/>
              <w:left w:w="144" w:type="dxa"/>
              <w:bottom w:w="96" w:type="dxa"/>
              <w:right w:w="144" w:type="dxa"/>
            </w:tcMar>
            <w:vAlign w:val="center"/>
          </w:tcPr>
          <w:p w14:paraId="4A3C1464">
            <w:pPr>
              <w:spacing w:before="52" w:after="52" w:line="240" w:lineRule="auto"/>
              <w:jc w:val="left"/>
            </w:pPr>
            <w:r>
              <w:rPr>
                <w:sz w:val="21"/>
              </w:rPr>
              <w:t>0.014** （ 2.21 ）</w:t>
            </w:r>
          </w:p>
        </w:tc>
        <w:tc>
          <w:tcPr>
            <w:tcW w:w="2160" w:type="dxa"/>
            <w:tcBorders>
              <w:left w:val="nil"/>
              <w:right w:val="nil"/>
            </w:tcBorders>
            <w:tcMar>
              <w:top w:w="96" w:type="dxa"/>
              <w:left w:w="144" w:type="dxa"/>
              <w:bottom w:w="96" w:type="dxa"/>
              <w:right w:w="144" w:type="dxa"/>
            </w:tcMar>
            <w:vAlign w:val="center"/>
          </w:tcPr>
          <w:p w14:paraId="6E95A869">
            <w:pPr>
              <w:spacing w:before="52" w:after="52" w:line="240" w:lineRule="auto"/>
              <w:jc w:val="left"/>
            </w:pPr>
            <w:r>
              <w:rPr>
                <w:sz w:val="21"/>
              </w:rPr>
              <w:t>0.011* （ 1.88 ）</w:t>
            </w:r>
          </w:p>
        </w:tc>
      </w:tr>
      <w:tr w14:paraId="44776746">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2255ACB3">
            <w:pPr>
              <w:spacing w:before="52" w:after="52" w:line="240" w:lineRule="auto"/>
              <w:jc w:val="left"/>
            </w:pPr>
            <w:r>
              <w:rPr>
                <w:sz w:val="21"/>
              </w:rPr>
              <w:t>Dual</w:t>
            </w:r>
          </w:p>
        </w:tc>
        <w:tc>
          <w:tcPr>
            <w:tcW w:w="2160" w:type="dxa"/>
            <w:tcBorders>
              <w:left w:val="nil"/>
              <w:right w:val="nil"/>
            </w:tcBorders>
            <w:tcMar>
              <w:top w:w="96" w:type="dxa"/>
              <w:left w:w="144" w:type="dxa"/>
              <w:bottom w:w="96" w:type="dxa"/>
              <w:right w:w="144" w:type="dxa"/>
            </w:tcMar>
            <w:vAlign w:val="center"/>
          </w:tcPr>
          <w:p w14:paraId="66EC471F">
            <w:pPr>
              <w:spacing w:before="52" w:after="52" w:line="240" w:lineRule="auto"/>
              <w:jc w:val="left"/>
            </w:pPr>
            <w:r>
              <w:rPr>
                <w:sz w:val="21"/>
              </w:rPr>
              <w:t>—</w:t>
            </w:r>
          </w:p>
        </w:tc>
        <w:tc>
          <w:tcPr>
            <w:tcW w:w="2160" w:type="dxa"/>
            <w:tcBorders>
              <w:left w:val="nil"/>
              <w:right w:val="nil"/>
            </w:tcBorders>
            <w:tcMar>
              <w:top w:w="96" w:type="dxa"/>
              <w:left w:w="144" w:type="dxa"/>
              <w:bottom w:w="96" w:type="dxa"/>
              <w:right w:w="144" w:type="dxa"/>
            </w:tcMar>
            <w:vAlign w:val="center"/>
          </w:tcPr>
          <w:p w14:paraId="72BCF6F2">
            <w:pPr>
              <w:spacing w:before="52" w:after="52" w:line="240" w:lineRule="auto"/>
              <w:jc w:val="left"/>
            </w:pPr>
            <w:r>
              <w:rPr>
                <w:sz w:val="21"/>
              </w:rPr>
              <w:t>0.187** （ 2.04 ）</w:t>
            </w:r>
          </w:p>
        </w:tc>
        <w:tc>
          <w:tcPr>
            <w:tcW w:w="2160" w:type="dxa"/>
            <w:tcBorders>
              <w:left w:val="nil"/>
              <w:right w:val="nil"/>
            </w:tcBorders>
            <w:tcMar>
              <w:top w:w="96" w:type="dxa"/>
              <w:left w:w="144" w:type="dxa"/>
              <w:bottom w:w="96" w:type="dxa"/>
              <w:right w:w="144" w:type="dxa"/>
            </w:tcMar>
            <w:vAlign w:val="center"/>
          </w:tcPr>
          <w:p w14:paraId="447853A1">
            <w:pPr>
              <w:spacing w:before="52" w:after="52" w:line="240" w:lineRule="auto"/>
              <w:jc w:val="left"/>
            </w:pPr>
            <w:r>
              <w:rPr>
                <w:sz w:val="21"/>
              </w:rPr>
              <w:t>0.121 （ 1.32 ）</w:t>
            </w:r>
          </w:p>
        </w:tc>
      </w:tr>
      <w:tr w14:paraId="04DEB6A1">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230D9037">
            <w:pPr>
              <w:spacing w:before="52" w:after="52" w:line="240" w:lineRule="auto"/>
              <w:jc w:val="left"/>
            </w:pPr>
            <w:r>
              <w:rPr>
                <w:sz w:val="21"/>
              </w:rPr>
              <w:t>Age</w:t>
            </w:r>
          </w:p>
        </w:tc>
        <w:tc>
          <w:tcPr>
            <w:tcW w:w="2160" w:type="dxa"/>
            <w:tcBorders>
              <w:left w:val="nil"/>
              <w:right w:val="nil"/>
            </w:tcBorders>
            <w:tcMar>
              <w:top w:w="96" w:type="dxa"/>
              <w:left w:w="144" w:type="dxa"/>
              <w:bottom w:w="96" w:type="dxa"/>
              <w:right w:w="144" w:type="dxa"/>
            </w:tcMar>
            <w:vAlign w:val="center"/>
          </w:tcPr>
          <w:p w14:paraId="37B515DB">
            <w:pPr>
              <w:spacing w:before="52" w:after="52" w:line="240" w:lineRule="auto"/>
              <w:jc w:val="left"/>
            </w:pPr>
            <w:r>
              <w:rPr>
                <w:sz w:val="21"/>
              </w:rPr>
              <w:t>—</w:t>
            </w:r>
          </w:p>
        </w:tc>
        <w:tc>
          <w:tcPr>
            <w:tcW w:w="2160" w:type="dxa"/>
            <w:tcBorders>
              <w:left w:val="nil"/>
              <w:right w:val="nil"/>
            </w:tcBorders>
            <w:tcMar>
              <w:top w:w="96" w:type="dxa"/>
              <w:left w:w="144" w:type="dxa"/>
              <w:bottom w:w="96" w:type="dxa"/>
              <w:right w:w="144" w:type="dxa"/>
            </w:tcMar>
            <w:vAlign w:val="center"/>
          </w:tcPr>
          <w:p w14:paraId="2D428567">
            <w:pPr>
              <w:spacing w:before="52" w:after="52" w:line="240" w:lineRule="auto"/>
              <w:jc w:val="left"/>
            </w:pPr>
            <w:r>
              <w:rPr>
                <w:sz w:val="21"/>
              </w:rPr>
              <w:t>-0.062** （ -2.35 ）</w:t>
            </w:r>
          </w:p>
        </w:tc>
        <w:tc>
          <w:tcPr>
            <w:tcW w:w="2160" w:type="dxa"/>
            <w:tcBorders>
              <w:left w:val="nil"/>
              <w:right w:val="nil"/>
            </w:tcBorders>
            <w:tcMar>
              <w:top w:w="96" w:type="dxa"/>
              <w:left w:w="144" w:type="dxa"/>
              <w:bottom w:w="96" w:type="dxa"/>
              <w:right w:w="144" w:type="dxa"/>
            </w:tcMar>
            <w:vAlign w:val="center"/>
          </w:tcPr>
          <w:p w14:paraId="1641206C">
            <w:pPr>
              <w:spacing w:before="52" w:after="52" w:line="240" w:lineRule="auto"/>
              <w:jc w:val="left"/>
            </w:pPr>
            <w:r>
              <w:rPr>
                <w:sz w:val="21"/>
              </w:rPr>
              <w:t>-0.089** （ -2.17 ）</w:t>
            </w:r>
          </w:p>
        </w:tc>
      </w:tr>
      <w:tr w14:paraId="1F0F3C07">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182DE0A6">
            <w:pPr>
              <w:spacing w:before="52" w:after="52" w:line="240" w:lineRule="auto"/>
              <w:jc w:val="left"/>
            </w:pPr>
            <w:r>
              <w:rPr>
                <w:sz w:val="21"/>
              </w:rPr>
              <w:t>常数项</w:t>
            </w:r>
          </w:p>
        </w:tc>
        <w:tc>
          <w:tcPr>
            <w:tcW w:w="2160" w:type="dxa"/>
            <w:tcBorders>
              <w:left w:val="nil"/>
              <w:right w:val="nil"/>
            </w:tcBorders>
            <w:tcMar>
              <w:top w:w="96" w:type="dxa"/>
              <w:left w:w="144" w:type="dxa"/>
              <w:bottom w:w="96" w:type="dxa"/>
              <w:right w:w="144" w:type="dxa"/>
            </w:tcMar>
            <w:vAlign w:val="center"/>
          </w:tcPr>
          <w:p w14:paraId="06D0DA4F">
            <w:pPr>
              <w:spacing w:before="52" w:after="52" w:line="240" w:lineRule="auto"/>
              <w:jc w:val="left"/>
            </w:pPr>
            <w:r>
              <w:rPr>
                <w:sz w:val="21"/>
              </w:rPr>
              <w:t>3.852*** （ 9.11 ）</w:t>
            </w:r>
          </w:p>
        </w:tc>
        <w:tc>
          <w:tcPr>
            <w:tcW w:w="2160" w:type="dxa"/>
            <w:tcBorders>
              <w:left w:val="nil"/>
              <w:right w:val="nil"/>
            </w:tcBorders>
            <w:tcMar>
              <w:top w:w="96" w:type="dxa"/>
              <w:left w:w="144" w:type="dxa"/>
              <w:bottom w:w="96" w:type="dxa"/>
              <w:right w:w="144" w:type="dxa"/>
            </w:tcMar>
            <w:vAlign w:val="center"/>
          </w:tcPr>
          <w:p w14:paraId="154BB4F2">
            <w:pPr>
              <w:spacing w:before="52" w:after="52" w:line="240" w:lineRule="auto"/>
              <w:jc w:val="left"/>
            </w:pPr>
            <w:r>
              <w:rPr>
                <w:sz w:val="21"/>
              </w:rPr>
              <w:t>12.463*** （ 4.28 ）</w:t>
            </w:r>
          </w:p>
        </w:tc>
        <w:tc>
          <w:tcPr>
            <w:tcW w:w="2160" w:type="dxa"/>
            <w:tcBorders>
              <w:left w:val="nil"/>
              <w:right w:val="nil"/>
            </w:tcBorders>
            <w:tcMar>
              <w:top w:w="96" w:type="dxa"/>
              <w:left w:w="144" w:type="dxa"/>
              <w:bottom w:w="96" w:type="dxa"/>
              <w:right w:w="144" w:type="dxa"/>
            </w:tcMar>
            <w:vAlign w:val="center"/>
          </w:tcPr>
          <w:p w14:paraId="05409B59">
            <w:pPr>
              <w:spacing w:before="52" w:after="52" w:line="240" w:lineRule="auto"/>
              <w:jc w:val="left"/>
            </w:pPr>
            <w:r>
              <w:rPr>
                <w:sz w:val="21"/>
              </w:rPr>
              <w:t>15.924*** （ 3.71 ）</w:t>
            </w:r>
          </w:p>
        </w:tc>
      </w:tr>
      <w:tr w14:paraId="4CC9EEEB">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310E9648">
            <w:pPr>
              <w:spacing w:before="52" w:after="52" w:line="240" w:lineRule="auto"/>
              <w:jc w:val="left"/>
            </w:pPr>
            <w:r>
              <w:rPr>
                <w:sz w:val="21"/>
              </w:rPr>
              <w:t>个体固定效应</w:t>
            </w:r>
          </w:p>
        </w:tc>
        <w:tc>
          <w:tcPr>
            <w:tcW w:w="2160" w:type="dxa"/>
            <w:tcBorders>
              <w:left w:val="nil"/>
              <w:right w:val="nil"/>
            </w:tcBorders>
            <w:tcMar>
              <w:top w:w="96" w:type="dxa"/>
              <w:left w:w="144" w:type="dxa"/>
              <w:bottom w:w="96" w:type="dxa"/>
              <w:right w:w="144" w:type="dxa"/>
            </w:tcMar>
            <w:vAlign w:val="center"/>
          </w:tcPr>
          <w:p w14:paraId="2B911023">
            <w:pPr>
              <w:spacing w:before="52" w:after="52" w:line="240" w:lineRule="auto"/>
              <w:jc w:val="left"/>
            </w:pPr>
            <w:r>
              <w:rPr>
                <w:sz w:val="21"/>
              </w:rPr>
              <w:t>否</w:t>
            </w:r>
          </w:p>
        </w:tc>
        <w:tc>
          <w:tcPr>
            <w:tcW w:w="2160" w:type="dxa"/>
            <w:tcBorders>
              <w:left w:val="nil"/>
              <w:right w:val="nil"/>
            </w:tcBorders>
            <w:tcMar>
              <w:top w:w="96" w:type="dxa"/>
              <w:left w:w="144" w:type="dxa"/>
              <w:bottom w:w="96" w:type="dxa"/>
              <w:right w:w="144" w:type="dxa"/>
            </w:tcMar>
            <w:vAlign w:val="center"/>
          </w:tcPr>
          <w:p w14:paraId="499E4F69">
            <w:pPr>
              <w:spacing w:before="52" w:after="52" w:line="240" w:lineRule="auto"/>
              <w:jc w:val="left"/>
            </w:pPr>
            <w:r>
              <w:rPr>
                <w:sz w:val="21"/>
              </w:rPr>
              <w:t>否</w:t>
            </w:r>
          </w:p>
        </w:tc>
        <w:tc>
          <w:tcPr>
            <w:tcW w:w="2160" w:type="dxa"/>
            <w:tcBorders>
              <w:left w:val="nil"/>
              <w:right w:val="nil"/>
            </w:tcBorders>
            <w:tcMar>
              <w:top w:w="96" w:type="dxa"/>
              <w:left w:w="144" w:type="dxa"/>
              <w:bottom w:w="96" w:type="dxa"/>
              <w:right w:w="144" w:type="dxa"/>
            </w:tcMar>
            <w:vAlign w:val="center"/>
          </w:tcPr>
          <w:p w14:paraId="41206BB3">
            <w:pPr>
              <w:spacing w:before="52" w:after="52" w:line="240" w:lineRule="auto"/>
              <w:jc w:val="left"/>
            </w:pPr>
            <w:r>
              <w:rPr>
                <w:sz w:val="21"/>
              </w:rPr>
              <w:t>是</w:t>
            </w:r>
          </w:p>
        </w:tc>
      </w:tr>
      <w:tr w14:paraId="48CB042B">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58826D3F">
            <w:pPr>
              <w:spacing w:before="52" w:after="52" w:line="240" w:lineRule="auto"/>
              <w:jc w:val="left"/>
            </w:pPr>
            <w:r>
              <w:rPr>
                <w:sz w:val="21"/>
              </w:rPr>
              <w:t>年度固定效应</w:t>
            </w:r>
          </w:p>
        </w:tc>
        <w:tc>
          <w:tcPr>
            <w:tcW w:w="2160" w:type="dxa"/>
            <w:tcBorders>
              <w:left w:val="nil"/>
              <w:right w:val="nil"/>
            </w:tcBorders>
            <w:tcMar>
              <w:top w:w="96" w:type="dxa"/>
              <w:left w:w="144" w:type="dxa"/>
              <w:bottom w:w="96" w:type="dxa"/>
              <w:right w:w="144" w:type="dxa"/>
            </w:tcMar>
            <w:vAlign w:val="center"/>
          </w:tcPr>
          <w:p w14:paraId="69EECA34">
            <w:pPr>
              <w:spacing w:before="52" w:after="52" w:line="240" w:lineRule="auto"/>
              <w:jc w:val="left"/>
            </w:pPr>
            <w:r>
              <w:rPr>
                <w:sz w:val="21"/>
              </w:rPr>
              <w:t>否</w:t>
            </w:r>
          </w:p>
        </w:tc>
        <w:tc>
          <w:tcPr>
            <w:tcW w:w="2160" w:type="dxa"/>
            <w:tcBorders>
              <w:left w:val="nil"/>
              <w:right w:val="nil"/>
            </w:tcBorders>
            <w:tcMar>
              <w:top w:w="96" w:type="dxa"/>
              <w:left w:w="144" w:type="dxa"/>
              <w:bottom w:w="96" w:type="dxa"/>
              <w:right w:w="144" w:type="dxa"/>
            </w:tcMar>
            <w:vAlign w:val="center"/>
          </w:tcPr>
          <w:p w14:paraId="3E7720C0">
            <w:pPr>
              <w:spacing w:before="52" w:after="52" w:line="240" w:lineRule="auto"/>
              <w:jc w:val="left"/>
            </w:pPr>
            <w:r>
              <w:rPr>
                <w:sz w:val="21"/>
              </w:rPr>
              <w:t>否</w:t>
            </w:r>
          </w:p>
        </w:tc>
        <w:tc>
          <w:tcPr>
            <w:tcW w:w="2160" w:type="dxa"/>
            <w:tcBorders>
              <w:left w:val="nil"/>
              <w:right w:val="nil"/>
            </w:tcBorders>
            <w:tcMar>
              <w:top w:w="96" w:type="dxa"/>
              <w:left w:w="144" w:type="dxa"/>
              <w:bottom w:w="96" w:type="dxa"/>
              <w:right w:w="144" w:type="dxa"/>
            </w:tcMar>
            <w:vAlign w:val="center"/>
          </w:tcPr>
          <w:p w14:paraId="42308FE4">
            <w:pPr>
              <w:spacing w:before="52" w:after="52" w:line="240" w:lineRule="auto"/>
              <w:jc w:val="left"/>
            </w:pPr>
            <w:r>
              <w:rPr>
                <w:sz w:val="21"/>
              </w:rPr>
              <w:t>是</w:t>
            </w:r>
          </w:p>
        </w:tc>
      </w:tr>
      <w:tr w14:paraId="15F3E0A3">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0585BEFB">
            <w:pPr>
              <w:spacing w:before="52" w:after="52" w:line="240" w:lineRule="auto"/>
              <w:jc w:val="left"/>
            </w:pPr>
            <w:r>
              <w:rPr>
                <w:sz w:val="21"/>
              </w:rPr>
              <w:t>聚类稳健标准误</w:t>
            </w:r>
          </w:p>
        </w:tc>
        <w:tc>
          <w:tcPr>
            <w:tcW w:w="2160" w:type="dxa"/>
            <w:tcBorders>
              <w:left w:val="nil"/>
              <w:right w:val="nil"/>
            </w:tcBorders>
            <w:tcMar>
              <w:top w:w="96" w:type="dxa"/>
              <w:left w:w="144" w:type="dxa"/>
              <w:bottom w:w="96" w:type="dxa"/>
              <w:right w:w="144" w:type="dxa"/>
            </w:tcMar>
            <w:vAlign w:val="center"/>
          </w:tcPr>
          <w:p w14:paraId="16ED83A5">
            <w:pPr>
              <w:spacing w:before="52" w:after="52" w:line="240" w:lineRule="auto"/>
              <w:jc w:val="left"/>
            </w:pPr>
            <w:r>
              <w:rPr>
                <w:sz w:val="21"/>
              </w:rPr>
              <w:t>否</w:t>
            </w:r>
          </w:p>
        </w:tc>
        <w:tc>
          <w:tcPr>
            <w:tcW w:w="2160" w:type="dxa"/>
            <w:tcBorders>
              <w:left w:val="nil"/>
              <w:right w:val="nil"/>
            </w:tcBorders>
            <w:tcMar>
              <w:top w:w="96" w:type="dxa"/>
              <w:left w:w="144" w:type="dxa"/>
              <w:bottom w:w="96" w:type="dxa"/>
              <w:right w:w="144" w:type="dxa"/>
            </w:tcMar>
            <w:vAlign w:val="center"/>
          </w:tcPr>
          <w:p w14:paraId="71D4C796">
            <w:pPr>
              <w:spacing w:before="52" w:after="52" w:line="240" w:lineRule="auto"/>
              <w:jc w:val="left"/>
            </w:pPr>
            <w:r>
              <w:rPr>
                <w:sz w:val="21"/>
              </w:rPr>
              <w:t>是</w:t>
            </w:r>
          </w:p>
        </w:tc>
        <w:tc>
          <w:tcPr>
            <w:tcW w:w="2160" w:type="dxa"/>
            <w:tcBorders>
              <w:left w:val="nil"/>
              <w:right w:val="nil"/>
            </w:tcBorders>
            <w:tcMar>
              <w:top w:w="96" w:type="dxa"/>
              <w:left w:w="144" w:type="dxa"/>
              <w:bottom w:w="96" w:type="dxa"/>
              <w:right w:w="144" w:type="dxa"/>
            </w:tcMar>
            <w:vAlign w:val="center"/>
          </w:tcPr>
          <w:p w14:paraId="7A30D704">
            <w:pPr>
              <w:spacing w:before="52" w:after="52" w:line="240" w:lineRule="auto"/>
              <w:jc w:val="left"/>
            </w:pPr>
            <w:r>
              <w:rPr>
                <w:sz w:val="21"/>
              </w:rPr>
              <w:t>是</w:t>
            </w:r>
          </w:p>
        </w:tc>
      </w:tr>
      <w:tr w14:paraId="55AF2D55">
        <w:tblPrEx>
          <w:tblCellMar>
            <w:top w:w="0" w:type="dxa"/>
            <w:left w:w="108" w:type="dxa"/>
            <w:bottom w:w="0" w:type="dxa"/>
            <w:right w:w="108" w:type="dxa"/>
          </w:tblCellMar>
        </w:tblPrEx>
        <w:tc>
          <w:tcPr>
            <w:tcW w:w="2160" w:type="dxa"/>
            <w:tcBorders>
              <w:left w:val="nil"/>
              <w:right w:val="nil"/>
            </w:tcBorders>
            <w:tcMar>
              <w:top w:w="96" w:type="dxa"/>
              <w:left w:w="144" w:type="dxa"/>
              <w:bottom w:w="96" w:type="dxa"/>
              <w:right w:w="144" w:type="dxa"/>
            </w:tcMar>
            <w:vAlign w:val="center"/>
          </w:tcPr>
          <w:p w14:paraId="1DA52A4D">
            <w:pPr>
              <w:spacing w:before="52" w:after="52" w:line="240" w:lineRule="auto"/>
              <w:jc w:val="left"/>
            </w:pPr>
            <w:r>
              <w:rPr>
                <w:sz w:val="21"/>
              </w:rPr>
              <w:t>N</w:t>
            </w:r>
          </w:p>
        </w:tc>
        <w:tc>
          <w:tcPr>
            <w:tcW w:w="2160" w:type="dxa"/>
            <w:tcBorders>
              <w:left w:val="nil"/>
              <w:right w:val="nil"/>
            </w:tcBorders>
            <w:tcMar>
              <w:top w:w="96" w:type="dxa"/>
              <w:left w:w="144" w:type="dxa"/>
              <w:bottom w:w="96" w:type="dxa"/>
              <w:right w:w="144" w:type="dxa"/>
            </w:tcMar>
            <w:vAlign w:val="center"/>
          </w:tcPr>
          <w:p w14:paraId="05A13F3F">
            <w:pPr>
              <w:spacing w:before="52" w:after="52" w:line="240" w:lineRule="auto"/>
              <w:jc w:val="left"/>
            </w:pPr>
            <w:r>
              <w:rPr>
                <w:sz w:val="21"/>
              </w:rPr>
              <w:t>2140</w:t>
            </w:r>
          </w:p>
        </w:tc>
        <w:tc>
          <w:tcPr>
            <w:tcW w:w="2160" w:type="dxa"/>
            <w:tcBorders>
              <w:left w:val="nil"/>
              <w:right w:val="nil"/>
            </w:tcBorders>
            <w:tcMar>
              <w:top w:w="96" w:type="dxa"/>
              <w:left w:w="144" w:type="dxa"/>
              <w:bottom w:w="96" w:type="dxa"/>
              <w:right w:w="144" w:type="dxa"/>
            </w:tcMar>
            <w:vAlign w:val="center"/>
          </w:tcPr>
          <w:p w14:paraId="34C7A18C">
            <w:pPr>
              <w:spacing w:before="52" w:after="52" w:line="240" w:lineRule="auto"/>
              <w:jc w:val="left"/>
            </w:pPr>
            <w:r>
              <w:rPr>
                <w:sz w:val="21"/>
              </w:rPr>
              <w:t>2140</w:t>
            </w:r>
          </w:p>
        </w:tc>
        <w:tc>
          <w:tcPr>
            <w:tcW w:w="2160" w:type="dxa"/>
            <w:tcBorders>
              <w:left w:val="nil"/>
              <w:right w:val="nil"/>
            </w:tcBorders>
            <w:tcMar>
              <w:top w:w="96" w:type="dxa"/>
              <w:left w:w="144" w:type="dxa"/>
              <w:bottom w:w="96" w:type="dxa"/>
              <w:right w:w="144" w:type="dxa"/>
            </w:tcMar>
            <w:vAlign w:val="center"/>
          </w:tcPr>
          <w:p w14:paraId="0DC15DD7">
            <w:pPr>
              <w:spacing w:before="52" w:after="52" w:line="240" w:lineRule="auto"/>
              <w:jc w:val="left"/>
            </w:pPr>
            <w:r>
              <w:rPr>
                <w:sz w:val="21"/>
              </w:rPr>
              <w:t>2140</w:t>
            </w:r>
          </w:p>
        </w:tc>
      </w:tr>
      <w:tr w14:paraId="70216621">
        <w:tblPrEx>
          <w:tblCellMar>
            <w:top w:w="0" w:type="dxa"/>
            <w:left w:w="108" w:type="dxa"/>
            <w:bottom w:w="0" w:type="dxa"/>
            <w:right w:w="108" w:type="dxa"/>
          </w:tblCellMar>
        </w:tblPrEx>
        <w:tc>
          <w:tcPr>
            <w:tcW w:w="2160" w:type="dxa"/>
            <w:tcBorders>
              <w:left w:val="nil"/>
              <w:bottom w:val="single" w:color="000000" w:sz="12" w:space="0"/>
              <w:right w:val="nil"/>
            </w:tcBorders>
            <w:tcMar>
              <w:top w:w="96" w:type="dxa"/>
              <w:left w:w="144" w:type="dxa"/>
              <w:bottom w:w="96" w:type="dxa"/>
              <w:right w:w="144" w:type="dxa"/>
            </w:tcMar>
            <w:vAlign w:val="center"/>
          </w:tcPr>
          <w:p w14:paraId="43AF1749">
            <w:pPr>
              <w:spacing w:before="52" w:after="52" w:line="240" w:lineRule="auto"/>
              <w:jc w:val="left"/>
            </w:pPr>
            <w:r>
              <w:rPr>
                <w:sz w:val="21"/>
              </w:rPr>
              <w:t>调整 R²</w:t>
            </w:r>
          </w:p>
        </w:tc>
        <w:tc>
          <w:tcPr>
            <w:tcW w:w="2160" w:type="dxa"/>
            <w:tcBorders>
              <w:left w:val="nil"/>
              <w:bottom w:val="single" w:color="000000" w:sz="12" w:space="0"/>
              <w:right w:val="nil"/>
            </w:tcBorders>
            <w:tcMar>
              <w:top w:w="96" w:type="dxa"/>
              <w:left w:w="144" w:type="dxa"/>
              <w:bottom w:w="96" w:type="dxa"/>
              <w:right w:w="144" w:type="dxa"/>
            </w:tcMar>
            <w:vAlign w:val="center"/>
          </w:tcPr>
          <w:p w14:paraId="21455681">
            <w:pPr>
              <w:spacing w:before="52" w:after="52" w:line="240" w:lineRule="auto"/>
              <w:jc w:val="left"/>
            </w:pPr>
            <w:r>
              <w:rPr>
                <w:sz w:val="21"/>
              </w:rPr>
              <w:t>0.052</w:t>
            </w:r>
          </w:p>
        </w:tc>
        <w:tc>
          <w:tcPr>
            <w:tcW w:w="2160" w:type="dxa"/>
            <w:tcBorders>
              <w:left w:val="nil"/>
              <w:bottom w:val="single" w:color="000000" w:sz="12" w:space="0"/>
              <w:right w:val="nil"/>
            </w:tcBorders>
            <w:tcMar>
              <w:top w:w="96" w:type="dxa"/>
              <w:left w:w="144" w:type="dxa"/>
              <w:bottom w:w="96" w:type="dxa"/>
              <w:right w:w="144" w:type="dxa"/>
            </w:tcMar>
            <w:vAlign w:val="center"/>
          </w:tcPr>
          <w:p w14:paraId="49EB979D">
            <w:pPr>
              <w:spacing w:before="52" w:after="52" w:line="240" w:lineRule="auto"/>
              <w:jc w:val="left"/>
            </w:pPr>
            <w:r>
              <w:rPr>
                <w:sz w:val="21"/>
              </w:rPr>
              <w:t>0.183</w:t>
            </w:r>
          </w:p>
        </w:tc>
        <w:tc>
          <w:tcPr>
            <w:tcW w:w="2160" w:type="dxa"/>
            <w:tcBorders>
              <w:left w:val="nil"/>
              <w:bottom w:val="single" w:color="000000" w:sz="12" w:space="0"/>
              <w:right w:val="nil"/>
            </w:tcBorders>
            <w:tcMar>
              <w:top w:w="96" w:type="dxa"/>
              <w:left w:w="144" w:type="dxa"/>
              <w:bottom w:w="96" w:type="dxa"/>
              <w:right w:w="144" w:type="dxa"/>
            </w:tcMar>
            <w:vAlign w:val="center"/>
          </w:tcPr>
          <w:p w14:paraId="79CAAD02">
            <w:pPr>
              <w:spacing w:before="52" w:after="52" w:line="240" w:lineRule="auto"/>
              <w:jc w:val="left"/>
            </w:pPr>
            <w:r>
              <w:rPr>
                <w:sz w:val="21"/>
              </w:rPr>
              <w:t>0.612</w:t>
            </w:r>
          </w:p>
        </w:tc>
      </w:tr>
    </w:tbl>
    <w:p w14:paraId="359476A1">
      <w:pPr>
        <w:spacing w:before="36" w:after="180"/>
        <w:ind w:firstLine="0"/>
        <w:jc w:val="both"/>
      </w:pPr>
      <w:r>
        <w:rPr>
          <w:rFonts w:hint="eastAsia" w:ascii="宋体" w:hAnsi="宋体" w:eastAsia="宋体" w:cs="宋体"/>
          <w:color w:val="666666"/>
          <w:sz w:val="18"/>
          <w:lang w:eastAsia="zh-CN"/>
        </w:rPr>
        <w:t>注：括号内为</w:t>
      </w:r>
      <w:r>
        <w:rPr>
          <w:color w:val="666666"/>
          <w:sz w:val="18"/>
        </w:rPr>
        <w:t>t</w:t>
      </w:r>
      <w:r>
        <w:rPr>
          <w:rFonts w:hint="eastAsia" w:ascii="宋体" w:hAnsi="宋体" w:eastAsia="宋体" w:cs="宋体"/>
          <w:color w:val="666666"/>
          <w:sz w:val="18"/>
          <w:lang w:eastAsia="zh-CN"/>
        </w:rPr>
        <w:t>值；</w:t>
      </w:r>
      <w:r>
        <w:rPr>
          <w:color w:val="666666"/>
          <w:sz w:val="18"/>
        </w:rPr>
        <w:t>*</w:t>
      </w:r>
      <w:r>
        <w:rPr>
          <w:rFonts w:hint="eastAsia" w:ascii="宋体" w:hAnsi="宋体" w:eastAsia="宋体" w:cs="宋体"/>
          <w:color w:val="666666"/>
          <w:sz w:val="18"/>
          <w:lang w:eastAsia="zh-CN"/>
        </w:rPr>
        <w:t>、</w:t>
      </w:r>
      <w:r>
        <w:rPr>
          <w:color w:val="666666"/>
          <w:sz w:val="18"/>
        </w:rPr>
        <w:t>**</w:t>
      </w:r>
      <w:r>
        <w:rPr>
          <w:rFonts w:hint="eastAsia" w:ascii="宋体" w:hAnsi="宋体" w:eastAsia="宋体" w:cs="宋体"/>
          <w:color w:val="666666"/>
          <w:sz w:val="18"/>
          <w:lang w:eastAsia="zh-CN"/>
        </w:rPr>
        <w:t>、</w:t>
      </w:r>
      <w:r>
        <w:rPr>
          <w:color w:val="666666"/>
          <w:sz w:val="18"/>
        </w:rPr>
        <w:t>***</w:t>
      </w:r>
      <w:r>
        <w:rPr>
          <w:rFonts w:hint="eastAsia" w:ascii="宋体" w:hAnsi="宋体" w:eastAsia="宋体" w:cs="宋体"/>
          <w:color w:val="666666"/>
          <w:sz w:val="18"/>
          <w:lang w:eastAsia="zh-CN"/>
        </w:rPr>
        <w:t>分别表示在</w:t>
      </w:r>
      <w:r>
        <w:rPr>
          <w:color w:val="666666"/>
          <w:sz w:val="18"/>
        </w:rPr>
        <w:t>10%</w:t>
      </w:r>
      <w:r>
        <w:rPr>
          <w:rFonts w:hint="eastAsia" w:ascii="宋体" w:hAnsi="宋体" w:eastAsia="宋体" w:cs="宋体"/>
          <w:color w:val="666666"/>
          <w:sz w:val="18"/>
          <w:lang w:eastAsia="zh-CN"/>
        </w:rPr>
        <w:t>、</w:t>
      </w:r>
      <w:r>
        <w:rPr>
          <w:color w:val="666666"/>
          <w:sz w:val="18"/>
        </w:rPr>
        <w:t>5%</w:t>
      </w:r>
      <w:r>
        <w:rPr>
          <w:rFonts w:hint="eastAsia" w:ascii="宋体" w:hAnsi="宋体" w:eastAsia="宋体" w:cs="宋体"/>
          <w:color w:val="666666"/>
          <w:sz w:val="18"/>
          <w:lang w:eastAsia="zh-CN"/>
        </w:rPr>
        <w:t>、</w:t>
      </w:r>
      <w:r>
        <w:rPr>
          <w:color w:val="666666"/>
          <w:sz w:val="18"/>
        </w:rPr>
        <w:t>1%</w:t>
      </w:r>
      <w:r>
        <w:rPr>
          <w:rFonts w:hint="eastAsia" w:ascii="宋体" w:hAnsi="宋体" w:eastAsia="宋体" w:cs="宋体"/>
          <w:color w:val="666666"/>
          <w:sz w:val="18"/>
          <w:lang w:eastAsia="zh-CN"/>
        </w:rPr>
        <w:t>水平显著。</w:t>
      </w:r>
    </w:p>
    <w:p w14:paraId="427B75E0">
      <w:pPr>
        <w:pStyle w:val="5"/>
      </w:pPr>
      <w:bookmarkStart w:id="35" w:name="sec-3-5"/>
      <w:bookmarkEnd w:id="35"/>
      <w:bookmarkStart w:id="36" w:name="_Toc_sec_3_5"/>
      <w:r>
        <w:rPr>
          <w:rFonts w:hint="eastAsia" w:ascii="宋体" w:hAnsi="宋体" w:eastAsia="宋体" w:cs="宋体"/>
          <w:b/>
          <w:sz w:val="24"/>
          <w:lang w:eastAsia="zh-CN"/>
        </w:rPr>
        <w:t>（五）稳健性检验与异质性分析</w:t>
      </w:r>
      <w:bookmarkEnd w:id="36"/>
    </w:p>
    <w:p w14:paraId="2158F5AF">
      <w:pPr>
        <w:ind w:firstLine="480"/>
        <w:jc w:val="both"/>
      </w:pPr>
      <w:r>
        <w:rPr>
          <w:rFonts w:hint="eastAsia" w:ascii="宋体" w:hAnsi="宋体" w:eastAsia="宋体" w:cs="宋体"/>
          <w:b/>
          <w:lang w:eastAsia="zh-CN"/>
        </w:rPr>
        <w:t>（1）替换测度口径。</w:t>
      </w:r>
      <w:r>
        <w:rPr>
          <w:rFonts w:hint="eastAsia" w:ascii="宋体" w:hAnsi="宋体" w:eastAsia="宋体" w:cs="宋体"/>
          <w:lang w:eastAsia="zh-CN"/>
        </w:rPr>
        <w:t>以年报全文总词数替换</w:t>
      </w:r>
      <w:r>
        <w:t>MD&amp;A</w:t>
      </w:r>
      <w:r>
        <w:rPr>
          <w:rFonts w:hint="eastAsia" w:ascii="宋体" w:hAnsi="宋体" w:eastAsia="宋体" w:cs="宋体"/>
          <w:lang w:eastAsia="zh-CN"/>
        </w:rPr>
        <w:t>词数作为分母重新计算</w:t>
      </w:r>
      <w:r>
        <w:t>DTI</w:t>
      </w:r>
      <w:r>
        <w:rPr>
          <w:rFonts w:hint="eastAsia" w:ascii="宋体" w:hAnsi="宋体" w:eastAsia="宋体" w:cs="宋体"/>
          <w:lang w:eastAsia="zh-CN"/>
        </w:rPr>
        <w:t>并代入列（</w:t>
      </w:r>
      <w:r>
        <w:t>3</w:t>
      </w:r>
      <w:r>
        <w:rPr>
          <w:rFonts w:hint="eastAsia" w:ascii="宋体" w:hAnsi="宋体" w:eastAsia="宋体" w:cs="宋体"/>
          <w:lang w:eastAsia="zh-CN"/>
        </w:rPr>
        <w:t>）模型，</w:t>
      </w:r>
      <w:r>
        <w:t>DTI</w:t>
      </w:r>
      <w:r>
        <w:rPr>
          <w:rFonts w:hint="eastAsia" w:ascii="宋体" w:hAnsi="宋体" w:eastAsia="宋体" w:cs="宋体"/>
          <w:lang w:eastAsia="zh-CN"/>
        </w:rPr>
        <w:t>系数为</w:t>
      </w:r>
      <w:r>
        <w:t>0.118</w:t>
      </w:r>
      <w:r>
        <w:rPr>
          <w:rFonts w:hint="eastAsia" w:ascii="宋体" w:hAnsi="宋体" w:eastAsia="宋体" w:cs="宋体"/>
          <w:lang w:eastAsia="zh-CN"/>
        </w:rPr>
        <w:t>（</w:t>
      </w:r>
      <w:r>
        <w:t>t=2.86</w:t>
      </w:r>
      <w:r>
        <w:rPr>
          <w:rFonts w:hint="eastAsia" w:ascii="宋体" w:hAnsi="宋体" w:eastAsia="宋体" w:cs="宋体"/>
          <w:lang w:eastAsia="zh-CN"/>
        </w:rPr>
        <w:t>，</w:t>
      </w:r>
      <w:r>
        <w:t>p&lt;0.01</w:t>
      </w:r>
      <w:r>
        <w:rPr>
          <w:rFonts w:hint="eastAsia" w:ascii="宋体" w:hAnsi="宋体" w:eastAsia="宋体" w:cs="宋体"/>
          <w:lang w:eastAsia="zh-CN"/>
        </w:rPr>
        <w:t>），结论不变；改用</w:t>
      </w:r>
      <w:r>
        <w:t>"</w:t>
      </w:r>
      <w:r>
        <w:rPr>
          <w:rFonts w:hint="eastAsia" w:ascii="宋体" w:hAnsi="宋体" w:eastAsia="宋体" w:cs="宋体"/>
          <w:lang w:eastAsia="zh-CN"/>
        </w:rPr>
        <w:t>数字化词典词频加</w:t>
      </w:r>
      <w:r>
        <w:t>1</w:t>
      </w:r>
      <w:r>
        <w:rPr>
          <w:rFonts w:hint="eastAsia" w:ascii="宋体" w:hAnsi="宋体" w:eastAsia="宋体" w:cs="宋体"/>
          <w:lang w:eastAsia="zh-CN"/>
        </w:rPr>
        <w:t>取自然对数</w:t>
      </w:r>
      <w:r>
        <w:t>"</w:t>
      </w:r>
      <w:r>
        <w:rPr>
          <w:rFonts w:hint="eastAsia" w:ascii="宋体" w:hAnsi="宋体" w:eastAsia="宋体" w:cs="宋体"/>
          <w:lang w:eastAsia="zh-CN"/>
        </w:rPr>
        <w:t>的强度口径，系数依然显著为正，表明结论不依赖于特定测度公式。</w:t>
      </w:r>
    </w:p>
    <w:p w14:paraId="034641ED">
      <w:pPr>
        <w:ind w:firstLine="480"/>
        <w:jc w:val="both"/>
      </w:pPr>
      <w:r>
        <w:rPr>
          <w:rFonts w:hint="eastAsia" w:ascii="宋体" w:hAnsi="宋体" w:eastAsia="宋体" w:cs="宋体"/>
          <w:b/>
          <w:lang w:eastAsia="zh-CN"/>
        </w:rPr>
        <w:t>（2）替换被解释变量。</w:t>
      </w:r>
      <w:r>
        <w:rPr>
          <w:rFonts w:hint="eastAsia" w:ascii="宋体" w:hAnsi="宋体" w:eastAsia="宋体" w:cs="宋体"/>
          <w:lang w:eastAsia="zh-CN"/>
        </w:rPr>
        <w:t>以净资产收益率（</w:t>
      </w:r>
      <w:r>
        <w:t>ROE</w:t>
      </w:r>
      <w:r>
        <w:rPr>
          <w:rFonts w:hint="eastAsia" w:ascii="宋体" w:hAnsi="宋体" w:eastAsia="宋体" w:cs="宋体"/>
          <w:lang w:eastAsia="zh-CN"/>
        </w:rPr>
        <w:t>）替换</w:t>
      </w:r>
      <w:r>
        <w:t>ROA</w:t>
      </w:r>
      <w:r>
        <w:rPr>
          <w:rFonts w:hint="eastAsia" w:ascii="宋体" w:hAnsi="宋体" w:eastAsia="宋体" w:cs="宋体"/>
          <w:lang w:eastAsia="zh-CN"/>
        </w:rPr>
        <w:t>，</w:t>
      </w:r>
      <w:r>
        <w:t>DTI</w:t>
      </w:r>
      <w:r>
        <w:rPr>
          <w:rFonts w:hint="eastAsia" w:ascii="宋体" w:hAnsi="宋体" w:eastAsia="宋体" w:cs="宋体"/>
          <w:lang w:eastAsia="zh-CN"/>
        </w:rPr>
        <w:t>系数为</w:t>
      </w:r>
      <w:r>
        <w:t>0.201</w:t>
      </w:r>
      <w:r>
        <w:rPr>
          <w:rFonts w:hint="eastAsia" w:ascii="宋体" w:hAnsi="宋体" w:eastAsia="宋体" w:cs="宋体"/>
          <w:lang w:eastAsia="zh-CN"/>
        </w:rPr>
        <w:t>（</w:t>
      </w:r>
      <w:r>
        <w:t>t=2.93</w:t>
      </w:r>
      <w:r>
        <w:rPr>
          <w:rFonts w:hint="eastAsia" w:ascii="宋体" w:hAnsi="宋体" w:eastAsia="宋体" w:cs="宋体"/>
          <w:lang w:eastAsia="zh-CN"/>
        </w:rPr>
        <w:t>，</w:t>
      </w:r>
      <w:r>
        <w:t>p&lt;0.01</w:t>
      </w:r>
      <w:r>
        <w:rPr>
          <w:rFonts w:hint="eastAsia" w:ascii="宋体" w:hAnsi="宋体" w:eastAsia="宋体" w:cs="宋体"/>
          <w:lang w:eastAsia="zh-CN"/>
        </w:rPr>
        <w:t>），结论保持稳健。</w:t>
      </w:r>
    </w:p>
    <w:p w14:paraId="44481496">
      <w:pPr>
        <w:ind w:firstLine="480"/>
        <w:jc w:val="both"/>
      </w:pPr>
      <w:r>
        <w:rPr>
          <w:rFonts w:hint="eastAsia" w:ascii="宋体" w:hAnsi="宋体" w:eastAsia="宋体" w:cs="宋体"/>
          <w:b/>
          <w:lang w:eastAsia="zh-CN"/>
        </w:rPr>
        <w:t>（3）滞后一期处理。</w:t>
      </w:r>
      <w:r>
        <w:rPr>
          <w:rFonts w:hint="eastAsia" w:ascii="宋体" w:hAnsi="宋体" w:eastAsia="宋体" w:cs="宋体"/>
          <w:lang w:eastAsia="zh-CN"/>
        </w:rPr>
        <w:t>考虑到数字化转型对绩效的影响可能存在时滞，且为缓解反向因果（绩效好的企业更有资源投入数字化）的干扰，将</w:t>
      </w:r>
      <w:r>
        <w:t>DTI</w:t>
      </w:r>
      <w:r>
        <w:rPr>
          <w:rFonts w:hint="eastAsia" w:ascii="宋体" w:hAnsi="宋体" w:eastAsia="宋体" w:cs="宋体"/>
          <w:lang w:eastAsia="zh-CN"/>
        </w:rPr>
        <w:t>滞后一期代入模型，系数为</w:t>
      </w:r>
      <w:r>
        <w:t>0.104</w:t>
      </w:r>
      <w:r>
        <w:rPr>
          <w:rFonts w:hint="eastAsia" w:ascii="宋体" w:hAnsi="宋体" w:eastAsia="宋体" w:cs="宋体"/>
          <w:lang w:eastAsia="zh-CN"/>
        </w:rPr>
        <w:t>（</w:t>
      </w:r>
      <w:r>
        <w:t>t=2.41</w:t>
      </w:r>
      <w:r>
        <w:rPr>
          <w:rFonts w:hint="eastAsia" w:ascii="宋体" w:hAnsi="宋体" w:eastAsia="宋体" w:cs="宋体"/>
          <w:lang w:eastAsia="zh-CN"/>
        </w:rPr>
        <w:t>，</w:t>
      </w:r>
      <w:r>
        <w:t>p&lt;0.05</w:t>
      </w:r>
      <w:r>
        <w:rPr>
          <w:rFonts w:hint="eastAsia" w:ascii="宋体" w:hAnsi="宋体" w:eastAsia="宋体" w:cs="宋体"/>
          <w:lang w:eastAsia="zh-CN"/>
        </w:rPr>
        <w:t>），正向效应依然存在，一定程度上缓解了内生性担忧。</w:t>
      </w:r>
    </w:p>
    <w:p w14:paraId="644CE012">
      <w:pPr>
        <w:ind w:firstLine="480"/>
        <w:jc w:val="both"/>
      </w:pPr>
      <w:r>
        <w:rPr>
          <w:rFonts w:hint="eastAsia" w:ascii="宋体" w:hAnsi="宋体" w:eastAsia="宋体" w:cs="宋体"/>
          <w:b/>
          <w:lang w:eastAsia="zh-CN"/>
        </w:rPr>
        <w:t>（4）异质性分析。</w:t>
      </w:r>
      <w:r>
        <w:rPr>
          <w:rFonts w:hint="eastAsia" w:ascii="宋体" w:hAnsi="宋体" w:eastAsia="宋体" w:cs="宋体"/>
          <w:lang w:eastAsia="zh-CN"/>
        </w:rPr>
        <w:t>按产权性质分组回归显示，国有企业子样本中</w:t>
      </w:r>
      <w:r>
        <w:t>DTI</w:t>
      </w:r>
      <w:r>
        <w:rPr>
          <w:rFonts w:hint="eastAsia" w:ascii="宋体" w:hAnsi="宋体" w:eastAsia="宋体" w:cs="宋体"/>
          <w:lang w:eastAsia="zh-CN"/>
        </w:rPr>
        <w:t>系数为</w:t>
      </w:r>
      <w:r>
        <w:t>0.158</w:t>
      </w:r>
      <w:r>
        <w:rPr>
          <w:rFonts w:hint="eastAsia" w:ascii="宋体" w:hAnsi="宋体" w:eastAsia="宋体" w:cs="宋体"/>
          <w:lang w:eastAsia="zh-CN"/>
        </w:rPr>
        <w:t>（</w:t>
      </w:r>
      <w:r>
        <w:t>p&lt;0.01</w:t>
      </w:r>
      <w:r>
        <w:rPr>
          <w:rFonts w:hint="eastAsia" w:ascii="宋体" w:hAnsi="宋体" w:eastAsia="宋体" w:cs="宋体"/>
          <w:lang w:eastAsia="zh-CN"/>
        </w:rPr>
        <w:t>），非国有企业为</w:t>
      </w:r>
      <w:r>
        <w:t>0.097</w:t>
      </w:r>
      <w:r>
        <w:rPr>
          <w:rFonts w:hint="eastAsia" w:ascii="宋体" w:hAnsi="宋体" w:eastAsia="宋体" w:cs="宋体"/>
          <w:lang w:eastAsia="zh-CN"/>
        </w:rPr>
        <w:t>（</w:t>
      </w:r>
      <w:r>
        <w:t>p&lt;0.10</w:t>
      </w:r>
      <w:r>
        <w:rPr>
          <w:rFonts w:hint="eastAsia" w:ascii="宋体" w:hAnsi="宋体" w:eastAsia="宋体" w:cs="宋体"/>
          <w:lang w:eastAsia="zh-CN"/>
        </w:rPr>
        <w:t>），国有企业转型绩效效应更强，可能与其融资约束较低、能够支撑数字化转型的长周期投入有关。按行业属性分组显示，高技术行业中</w:t>
      </w:r>
      <w:r>
        <w:t>DTI</w:t>
      </w:r>
      <w:r>
        <w:rPr>
          <w:rFonts w:hint="eastAsia" w:ascii="宋体" w:hAnsi="宋体" w:eastAsia="宋体" w:cs="宋体"/>
          <w:lang w:eastAsia="zh-CN"/>
        </w:rPr>
        <w:t>系数为</w:t>
      </w:r>
      <w:r>
        <w:t>0.171</w:t>
      </w:r>
      <w:r>
        <w:rPr>
          <w:rFonts w:hint="eastAsia" w:ascii="宋体" w:hAnsi="宋体" w:eastAsia="宋体" w:cs="宋体"/>
          <w:lang w:eastAsia="zh-CN"/>
        </w:rPr>
        <w:t>（</w:t>
      </w:r>
      <w:r>
        <w:t>p&lt;0.01</w:t>
      </w:r>
      <w:r>
        <w:rPr>
          <w:rFonts w:hint="eastAsia" w:ascii="宋体" w:hAnsi="宋体" w:eastAsia="宋体" w:cs="宋体"/>
          <w:lang w:eastAsia="zh-CN"/>
        </w:rPr>
        <w:t>），非高技术行业为</w:t>
      </w:r>
      <w:r>
        <w:t>0.089</w:t>
      </w:r>
      <w:r>
        <w:rPr>
          <w:rFonts w:hint="eastAsia" w:ascii="宋体" w:hAnsi="宋体" w:eastAsia="宋体" w:cs="宋体"/>
          <w:lang w:eastAsia="zh-CN"/>
        </w:rPr>
        <w:t>（</w:t>
      </w:r>
      <w:r>
        <w:t>p&lt;0.10</w:t>
      </w:r>
      <w:r>
        <w:rPr>
          <w:rFonts w:hint="eastAsia" w:ascii="宋体" w:hAnsi="宋体" w:eastAsia="宋体" w:cs="宋体"/>
          <w:lang w:eastAsia="zh-CN"/>
        </w:rPr>
        <w:t>），表明数字技术与业务的耦合度越高，转型红利越易兑现。</w:t>
      </w:r>
    </w:p>
    <w:p w14:paraId="4A5ADA8B">
      <w:pPr>
        <w:pStyle w:val="5"/>
      </w:pPr>
      <w:bookmarkStart w:id="37" w:name="sec-3-6"/>
      <w:bookmarkEnd w:id="37"/>
      <w:bookmarkStart w:id="38" w:name="_Toc_sec_3_6"/>
      <w:r>
        <w:rPr>
          <w:rFonts w:hint="eastAsia" w:ascii="宋体" w:hAnsi="宋体" w:eastAsia="宋体" w:cs="宋体"/>
          <w:b/>
          <w:sz w:val="24"/>
          <w:lang w:eastAsia="zh-CN"/>
        </w:rPr>
        <w:t>（六）结果讨论</w:t>
      </w:r>
      <w:bookmarkEnd w:id="38"/>
    </w:p>
    <w:p w14:paraId="1B0089CE">
      <w:pPr>
        <w:ind w:firstLine="480"/>
        <w:jc w:val="both"/>
      </w:pPr>
      <w:r>
        <w:rPr>
          <w:rFonts w:hint="eastAsia" w:ascii="宋体" w:hAnsi="宋体" w:eastAsia="宋体" w:cs="宋体"/>
          <w:lang w:eastAsia="zh-CN"/>
        </w:rPr>
        <w:t>基准回归与稳健性检验的结果可从三个角度加以讨论。</w:t>
      </w:r>
    </w:p>
    <w:p w14:paraId="3BE4CDC7">
      <w:pPr>
        <w:ind w:firstLine="480"/>
        <w:jc w:val="both"/>
      </w:pPr>
      <w:r>
        <w:rPr>
          <w:rFonts w:hint="eastAsia" w:ascii="宋体" w:hAnsi="宋体" w:eastAsia="宋体" w:cs="宋体"/>
          <w:lang w:eastAsia="zh-CN"/>
        </w:rPr>
        <w:t>第一，与既有文献的对话。本文在控制个体与年度固定效应后得到的正向效应（</w:t>
      </w:r>
      <w:r>
        <w:t>β=0.132</w:t>
      </w:r>
      <w:r>
        <w:rPr>
          <w:rFonts w:hint="eastAsia" w:ascii="宋体" w:hAnsi="宋体" w:eastAsia="宋体" w:cs="宋体"/>
          <w:lang w:eastAsia="zh-CN"/>
        </w:rPr>
        <w:t>），在方向上与吴非等（</w:t>
      </w:r>
      <w:r>
        <w:t>2021</w:t>
      </w:r>
      <w:r>
        <w:rPr>
          <w:rFonts w:hint="eastAsia" w:ascii="宋体" w:hAnsi="宋体" w:eastAsia="宋体" w:cs="宋体"/>
          <w:lang w:eastAsia="zh-CN"/>
        </w:rPr>
        <w:t>）、赵宸宇等（</w:t>
      </w:r>
      <w:r>
        <w:t>2021</w:t>
      </w:r>
      <w:r>
        <w:rPr>
          <w:rFonts w:hint="eastAsia" w:ascii="宋体" w:hAnsi="宋体" w:eastAsia="宋体" w:cs="宋体"/>
          <w:lang w:eastAsia="zh-CN"/>
        </w:rPr>
        <w:t>）的发现一致，但系数小于不控制固定效应的混合</w:t>
      </w:r>
      <w:r>
        <w:t>OLS</w:t>
      </w:r>
      <w:r>
        <w:rPr>
          <w:rFonts w:hint="eastAsia" w:ascii="宋体" w:hAnsi="宋体" w:eastAsia="宋体" w:cs="宋体"/>
          <w:lang w:eastAsia="zh-CN"/>
        </w:rPr>
        <w:t>估计，这一</w:t>
      </w:r>
      <w:r>
        <w:t>"</w:t>
      </w:r>
      <w:r>
        <w:rPr>
          <w:rFonts w:hint="eastAsia" w:ascii="宋体" w:hAnsi="宋体" w:eastAsia="宋体" w:cs="宋体"/>
          <w:lang w:eastAsia="zh-CN"/>
        </w:rPr>
        <w:t>系数衰减</w:t>
      </w:r>
      <w:r>
        <w:t>"</w:t>
      </w:r>
      <w:r>
        <w:rPr>
          <w:rFonts w:hint="eastAsia" w:ascii="宋体" w:hAnsi="宋体" w:eastAsia="宋体" w:cs="宋体"/>
          <w:lang w:eastAsia="zh-CN"/>
        </w:rPr>
        <w:t>现象符合预期：混合</w:t>
      </w:r>
      <w:r>
        <w:t>OLS</w:t>
      </w:r>
      <w:r>
        <w:rPr>
          <w:rFonts w:hint="eastAsia" w:ascii="宋体" w:hAnsi="宋体" w:eastAsia="宋体" w:cs="宋体"/>
          <w:lang w:eastAsia="zh-CN"/>
        </w:rPr>
        <w:t>中</w:t>
      </w:r>
      <w:r>
        <w:t>DTI</w:t>
      </w:r>
      <w:r>
        <w:rPr>
          <w:rFonts w:hint="eastAsia" w:ascii="宋体" w:hAnsi="宋体" w:eastAsia="宋体" w:cs="宋体"/>
          <w:lang w:eastAsia="zh-CN"/>
        </w:rPr>
        <w:t>与</w:t>
      </w:r>
      <w:r>
        <w:t>ROA</w:t>
      </w:r>
      <w:r>
        <w:rPr>
          <w:rFonts w:hint="eastAsia" w:ascii="宋体" w:hAnsi="宋体" w:eastAsia="宋体" w:cs="宋体"/>
          <w:lang w:eastAsia="zh-CN"/>
        </w:rPr>
        <w:t>的正相关，部分来自</w:t>
      </w:r>
      <w:r>
        <w:t>"</w:t>
      </w:r>
      <w:r>
        <w:rPr>
          <w:rFonts w:hint="eastAsia" w:ascii="宋体" w:hAnsi="宋体" w:eastAsia="宋体" w:cs="宋体"/>
          <w:lang w:eastAsia="zh-CN"/>
        </w:rPr>
        <w:t>数字化程度高的企业本身盈利能力就强</w:t>
      </w:r>
      <w:r>
        <w:t>"</w:t>
      </w:r>
      <w:r>
        <w:rPr>
          <w:rFonts w:hint="eastAsia" w:ascii="宋体" w:hAnsi="宋体" w:eastAsia="宋体" w:cs="宋体"/>
          <w:lang w:eastAsia="zh-CN"/>
        </w:rPr>
        <w:t>的组间差异，固定效应吸收了企业层面的稳定特征后，识别出的才是企业自身数字化转型程度变动对绩效的影响，估计更为干净。这也提示后续研究者在解读词频型测度的回归结果时，应重点关注是否控制了个体固定效应。</w:t>
      </w:r>
    </w:p>
    <w:p w14:paraId="2CBAFD9C">
      <w:pPr>
        <w:ind w:firstLine="480"/>
        <w:jc w:val="both"/>
      </w:pPr>
      <w:r>
        <w:rPr>
          <w:rFonts w:hint="eastAsia" w:ascii="宋体" w:hAnsi="宋体" w:eastAsia="宋体" w:cs="宋体"/>
          <w:lang w:eastAsia="zh-CN"/>
        </w:rPr>
        <w:t>第二，作用机制的推测。结合描述性事实与异质性结果，数字化转型提升绩效的可能渠道包括：（</w:t>
      </w:r>
      <w:r>
        <w:t>1</w:t>
      </w:r>
      <w:r>
        <w:rPr>
          <w:rFonts w:hint="eastAsia" w:ascii="宋体" w:hAnsi="宋体" w:eastAsia="宋体" w:cs="宋体"/>
          <w:lang w:eastAsia="zh-CN"/>
        </w:rPr>
        <w:t>）流程效率渠道，自动化与线上化降低内部沟通与交易成本；（</w:t>
      </w:r>
      <w:r>
        <w:t>2</w:t>
      </w:r>
      <w:r>
        <w:rPr>
          <w:rFonts w:hint="eastAsia" w:ascii="宋体" w:hAnsi="宋体" w:eastAsia="宋体" w:cs="宋体"/>
          <w:lang w:eastAsia="zh-CN"/>
        </w:rPr>
        <w:t>）信息整合渠道，数据中台等基础设施改善管理层的决策信息质量；（</w:t>
      </w:r>
      <w:r>
        <w:t>3</w:t>
      </w:r>
      <w:r>
        <w:rPr>
          <w:rFonts w:hint="eastAsia" w:ascii="宋体" w:hAnsi="宋体" w:eastAsia="宋体" w:cs="宋体"/>
          <w:lang w:eastAsia="zh-CN"/>
        </w:rPr>
        <w:t>）市场触达渠道，线上渠道扩张带来收入端的增量。国有企业与高技术行业效应更强的事实支持了</w:t>
      </w:r>
      <w:r>
        <w:t>"</w:t>
      </w:r>
      <w:r>
        <w:rPr>
          <w:rFonts w:hint="eastAsia" w:ascii="宋体" w:hAnsi="宋体" w:eastAsia="宋体" w:cs="宋体"/>
          <w:lang w:eastAsia="zh-CN"/>
        </w:rPr>
        <w:t>资源禀赋与技术互补性</w:t>
      </w:r>
      <w:r>
        <w:t>"</w:t>
      </w:r>
      <w:r>
        <w:rPr>
          <w:rFonts w:hint="eastAsia" w:ascii="宋体" w:hAnsi="宋体" w:eastAsia="宋体" w:cs="宋体"/>
          <w:lang w:eastAsia="zh-CN"/>
        </w:rPr>
        <w:t>的解释</w:t>
      </w:r>
      <w:r>
        <w:t>——</w:t>
      </w:r>
      <w:r>
        <w:rPr>
          <w:rFonts w:hint="eastAsia" w:ascii="宋体" w:hAnsi="宋体" w:eastAsia="宋体" w:cs="宋体"/>
          <w:lang w:eastAsia="zh-CN"/>
        </w:rPr>
        <w:t>数字化转型是一项长周期、高固定的投资，只有具备充足资源与既有技术吸收能力的企业，才能把叙事层面的转型转化为财务层面的回报。</w:t>
      </w:r>
    </w:p>
    <w:p w14:paraId="46E201E0">
      <w:pPr>
        <w:ind w:firstLine="480"/>
        <w:jc w:val="both"/>
      </w:pPr>
      <w:r>
        <w:rPr>
          <w:rFonts w:hint="eastAsia" w:ascii="宋体" w:hAnsi="宋体" w:eastAsia="宋体" w:cs="宋体"/>
          <w:lang w:eastAsia="zh-CN"/>
        </w:rPr>
        <w:t>第三，方法论层面的启示。本章分析链条明确呈现了</w:t>
      </w:r>
      <w:r>
        <w:t>"</w:t>
      </w:r>
      <w:r>
        <w:rPr>
          <w:rFonts w:hint="eastAsia" w:ascii="宋体" w:hAnsi="宋体" w:eastAsia="宋体" w:cs="宋体"/>
          <w:lang w:eastAsia="zh-CN"/>
        </w:rPr>
        <w:t>测度质量先行</w:t>
      </w:r>
      <w:r>
        <w:t>"</w:t>
      </w:r>
      <w:r>
        <w:rPr>
          <w:rFonts w:hint="eastAsia" w:ascii="宋体" w:hAnsi="宋体" w:eastAsia="宋体" w:cs="宋体"/>
          <w:lang w:eastAsia="zh-CN"/>
        </w:rPr>
        <w:t>的必要性：若跳过</w:t>
      </w:r>
      <w:r>
        <w:t>3.2</w:t>
      </w:r>
      <w:r>
        <w:rPr>
          <w:rFonts w:hint="eastAsia" w:ascii="宋体" w:hAnsi="宋体" w:eastAsia="宋体" w:cs="宋体"/>
          <w:lang w:eastAsia="zh-CN"/>
        </w:rPr>
        <w:t>节的信效度检验直接进入回归，</w:t>
      </w:r>
      <w:r>
        <w:t>DTI</w:t>
      </w:r>
      <w:r>
        <w:rPr>
          <w:rFonts w:hint="eastAsia" w:ascii="宋体" w:hAnsi="宋体" w:eastAsia="宋体" w:cs="宋体"/>
          <w:lang w:eastAsia="zh-CN"/>
        </w:rPr>
        <w:t>的测量误差会稀释估计系数并低估标准误，得到看似显著实则脆弱的结论。五步流水线中</w:t>
      </w:r>
      <w:r>
        <w:t>"</w:t>
      </w:r>
      <w:r>
        <w:rPr>
          <w:rFonts w:hint="eastAsia" w:ascii="宋体" w:hAnsi="宋体" w:eastAsia="宋体" w:cs="宋体"/>
          <w:lang w:eastAsia="zh-CN"/>
        </w:rPr>
        <w:t>信效度检验</w:t>
      </w:r>
      <w:r>
        <w:t>"</w:t>
      </w:r>
      <w:r>
        <w:rPr>
          <w:rFonts w:hint="eastAsia" w:ascii="宋体" w:hAnsi="宋体" w:eastAsia="宋体" w:cs="宋体"/>
          <w:lang w:eastAsia="zh-CN"/>
        </w:rPr>
        <w:t>独立成步，正是为了避免此类问题。需要再次强调的是，本章数值为演示数据下的流程展示，在真实毕业论文中，所有表格应由第</w:t>
      </w:r>
      <w:r>
        <w:t>2</w:t>
      </w:r>
      <w:r>
        <w:rPr>
          <w:rFonts w:hint="eastAsia" w:ascii="宋体" w:hAnsi="宋体" w:eastAsia="宋体" w:cs="宋体"/>
          <w:lang w:eastAsia="zh-CN"/>
        </w:rPr>
        <w:t>章所述脚本自动生成，并保留原始输出以备查验。</w:t>
      </w:r>
    </w:p>
    <w:p w14:paraId="4742C2F7">
      <w:pPr>
        <w:pStyle w:val="4"/>
      </w:pPr>
      <w:bookmarkStart w:id="39" w:name="sec-4"/>
      <w:bookmarkEnd w:id="39"/>
      <w:bookmarkStart w:id="40" w:name="_Toc_sec_4"/>
      <w:r>
        <w:rPr>
          <w:rFonts w:hint="eastAsia" w:ascii="宋体" w:hAnsi="宋体" w:eastAsia="宋体" w:cs="宋体"/>
          <w:b/>
          <w:sz w:val="28"/>
          <w:lang w:eastAsia="zh-CN"/>
        </w:rPr>
        <w:t>四、结论与展望</w:t>
      </w:r>
      <w:bookmarkEnd w:id="40"/>
    </w:p>
    <w:p w14:paraId="1DB30571">
      <w:pPr>
        <w:ind w:firstLine="480"/>
        <w:jc w:val="both"/>
      </w:pPr>
      <w:r>
        <w:rPr>
          <w:rFonts w:hint="eastAsia" w:ascii="宋体" w:hAnsi="宋体" w:eastAsia="宋体" w:cs="宋体"/>
          <w:lang w:eastAsia="zh-CN"/>
        </w:rPr>
        <w:t>本章总结全文主要发现，说明研究局限，并展望后续可深化的研究方向。</w:t>
      </w:r>
    </w:p>
    <w:p w14:paraId="4E456573">
      <w:pPr>
        <w:pStyle w:val="5"/>
      </w:pPr>
      <w:bookmarkStart w:id="41" w:name="sec-4-1"/>
      <w:bookmarkEnd w:id="41"/>
      <w:bookmarkStart w:id="42" w:name="_Toc_sec_4_1"/>
      <w:r>
        <w:rPr>
          <w:rFonts w:hint="eastAsia" w:ascii="宋体" w:hAnsi="宋体" w:eastAsia="宋体" w:cs="宋体"/>
          <w:b/>
          <w:sz w:val="24"/>
          <w:lang w:eastAsia="zh-CN"/>
        </w:rPr>
        <w:t>（一）主要发现</w:t>
      </w:r>
      <w:bookmarkEnd w:id="42"/>
    </w:p>
    <w:p w14:paraId="63375639">
      <w:pPr>
        <w:ind w:firstLine="480"/>
        <w:jc w:val="both"/>
      </w:pPr>
      <w:r>
        <w:rPr>
          <w:rFonts w:hint="eastAsia" w:ascii="宋体" w:hAnsi="宋体" w:eastAsia="宋体" w:cs="宋体"/>
          <w:lang w:eastAsia="zh-CN"/>
        </w:rPr>
        <w:t>本文以</w:t>
      </w:r>
      <w:r>
        <w:t>2019—2023</w:t>
      </w:r>
      <w:r>
        <w:rPr>
          <w:rFonts w:hint="eastAsia" w:ascii="宋体" w:hAnsi="宋体" w:eastAsia="宋体" w:cs="宋体"/>
          <w:lang w:eastAsia="zh-CN"/>
        </w:rPr>
        <w:t>年沪深</w:t>
      </w:r>
      <w:r>
        <w:t>A</w:t>
      </w:r>
      <w:r>
        <w:rPr>
          <w:rFonts w:hint="eastAsia" w:ascii="宋体" w:hAnsi="宋体" w:eastAsia="宋体" w:cs="宋体"/>
          <w:lang w:eastAsia="zh-CN"/>
        </w:rPr>
        <w:t>股</w:t>
      </w:r>
      <w:r>
        <w:t>428</w:t>
      </w:r>
      <w:r>
        <w:rPr>
          <w:rFonts w:hint="eastAsia" w:ascii="宋体" w:hAnsi="宋体" w:eastAsia="宋体" w:cs="宋体"/>
          <w:lang w:eastAsia="zh-CN"/>
        </w:rPr>
        <w:t>家上市公司共</w:t>
      </w:r>
      <w:r>
        <w:t>2140</w:t>
      </w:r>
      <w:r>
        <w:rPr>
          <w:rFonts w:hint="eastAsia" w:ascii="宋体" w:hAnsi="宋体" w:eastAsia="宋体" w:cs="宋体"/>
          <w:lang w:eastAsia="zh-CN"/>
        </w:rPr>
        <w:t>份年报为样本，完整实践了</w:t>
      </w:r>
      <w:r>
        <w:t>"</w:t>
      </w:r>
      <w:r>
        <w:rPr>
          <w:rFonts w:hint="eastAsia" w:ascii="宋体" w:hAnsi="宋体" w:eastAsia="宋体" w:cs="宋体"/>
          <w:lang w:eastAsia="zh-CN"/>
        </w:rPr>
        <w:t>数据获取</w:t>
      </w:r>
      <w:r>
        <w:t>—</w:t>
      </w:r>
      <w:r>
        <w:rPr>
          <w:rFonts w:hint="eastAsia" w:ascii="宋体" w:hAnsi="宋体" w:eastAsia="宋体" w:cs="宋体"/>
          <w:lang w:eastAsia="zh-CN"/>
        </w:rPr>
        <w:t>文本预处理</w:t>
      </w:r>
      <w:r>
        <w:t>—</w:t>
      </w:r>
      <w:r>
        <w:rPr>
          <w:rFonts w:hint="eastAsia" w:ascii="宋体" w:hAnsi="宋体" w:eastAsia="宋体" w:cs="宋体"/>
          <w:lang w:eastAsia="zh-CN"/>
        </w:rPr>
        <w:t>测度构建</w:t>
      </w:r>
      <w:r>
        <w:t>—</w:t>
      </w:r>
      <w:r>
        <w:rPr>
          <w:rFonts w:hint="eastAsia" w:ascii="宋体" w:hAnsi="宋体" w:eastAsia="宋体" w:cs="宋体"/>
          <w:lang w:eastAsia="zh-CN"/>
        </w:rPr>
        <w:t>信效度检验</w:t>
      </w:r>
      <w:r>
        <w:t>—</w:t>
      </w:r>
      <w:r>
        <w:rPr>
          <w:rFonts w:hint="eastAsia" w:ascii="宋体" w:hAnsi="宋体" w:eastAsia="宋体" w:cs="宋体"/>
          <w:lang w:eastAsia="zh-CN"/>
        </w:rPr>
        <w:t>回归分析</w:t>
      </w:r>
      <w:r>
        <w:t>"</w:t>
      </w:r>
      <w:r>
        <w:rPr>
          <w:rFonts w:hint="eastAsia" w:ascii="宋体" w:hAnsi="宋体" w:eastAsia="宋体" w:cs="宋体"/>
          <w:lang w:eastAsia="zh-CN"/>
        </w:rPr>
        <w:t>五步</w:t>
      </w:r>
      <w:r>
        <w:t>NLP</w:t>
      </w:r>
      <w:r>
        <w:rPr>
          <w:rFonts w:hint="eastAsia" w:ascii="宋体" w:hAnsi="宋体" w:eastAsia="宋体" w:cs="宋体"/>
          <w:lang w:eastAsia="zh-CN"/>
        </w:rPr>
        <w:t>测度构建流水线，主要发现有三。第一，基于</w:t>
      </w:r>
      <w:r>
        <w:t>"</w:t>
      </w:r>
      <w:r>
        <w:rPr>
          <w:rFonts w:hint="eastAsia" w:ascii="宋体" w:hAnsi="宋体" w:eastAsia="宋体" w:cs="宋体"/>
          <w:lang w:eastAsia="zh-CN"/>
        </w:rPr>
        <w:t>种子词典</w:t>
      </w:r>
      <w:r>
        <w:t>+Word2Vec</w:t>
      </w:r>
      <w:r>
        <w:rPr>
          <w:rFonts w:hint="eastAsia" w:ascii="宋体" w:hAnsi="宋体" w:eastAsia="宋体" w:cs="宋体"/>
          <w:lang w:eastAsia="zh-CN"/>
        </w:rPr>
        <w:t>扩充</w:t>
      </w:r>
      <w:r>
        <w:t>"</w:t>
      </w:r>
      <w:r>
        <w:rPr>
          <w:rFonts w:hint="eastAsia" w:ascii="宋体" w:hAnsi="宋体" w:eastAsia="宋体" w:cs="宋体"/>
          <w:lang w:eastAsia="zh-CN"/>
        </w:rPr>
        <w:t>构建的</w:t>
      </w:r>
      <w:r>
        <w:t>215</w:t>
      </w:r>
      <w:r>
        <w:rPr>
          <w:rFonts w:hint="eastAsia" w:ascii="宋体" w:hAnsi="宋体" w:eastAsia="宋体" w:cs="宋体"/>
          <w:lang w:eastAsia="zh-CN"/>
        </w:rPr>
        <w:t>词数字化词典能够稳定刻画年报中的数字化转型叙事，所构造的</w:t>
      </w:r>
      <w:r>
        <w:t>DTI</w:t>
      </w:r>
      <w:r>
        <w:rPr>
          <w:rFonts w:hint="eastAsia" w:ascii="宋体" w:hAnsi="宋体" w:eastAsia="宋体" w:cs="宋体"/>
          <w:lang w:eastAsia="zh-CN"/>
        </w:rPr>
        <w:t>指数通过内部一致性信度（</w:t>
      </w:r>
      <w:r>
        <w:t>α=0.87</w:t>
      </w:r>
      <w:r>
        <w:rPr>
          <w:rFonts w:hint="eastAsia" w:ascii="宋体" w:hAnsi="宋体" w:eastAsia="宋体" w:cs="宋体"/>
          <w:lang w:eastAsia="zh-CN"/>
        </w:rPr>
        <w:t>）、分半信度（</w:t>
      </w:r>
      <w:r>
        <w:t>0.83</w:t>
      </w:r>
      <w:r>
        <w:rPr>
          <w:rFonts w:hint="eastAsia" w:ascii="宋体" w:hAnsi="宋体" w:eastAsia="宋体" w:cs="宋体"/>
          <w:lang w:eastAsia="zh-CN"/>
        </w:rPr>
        <w:t>）与收敛效度检验，证明文本词频型测度在方法上是可信、可检验、可复现的。第二，样本期内上市公司数字化转型程度总体呈上升趋势，且企业间差异显著；</w:t>
      </w:r>
      <w:r>
        <w:t>DTI</w:t>
      </w:r>
      <w:r>
        <w:rPr>
          <w:rFonts w:hint="eastAsia" w:ascii="宋体" w:hAnsi="宋体" w:eastAsia="宋体" w:cs="宋体"/>
          <w:lang w:eastAsia="zh-CN"/>
        </w:rPr>
        <w:t>对</w:t>
      </w:r>
      <w:r>
        <w:t>ROA</w:t>
      </w:r>
      <w:r>
        <w:rPr>
          <w:rFonts w:hint="eastAsia" w:ascii="宋体" w:hAnsi="宋体" w:eastAsia="宋体" w:cs="宋体"/>
          <w:lang w:eastAsia="zh-CN"/>
        </w:rPr>
        <w:t>具有显著正向影响，数字化转型指数每提高</w:t>
      </w:r>
      <w:r>
        <w:t>1</w:t>
      </w:r>
      <w:r>
        <w:rPr>
          <w:rFonts w:hint="eastAsia" w:ascii="宋体" w:hAnsi="宋体" w:eastAsia="宋体" w:cs="宋体"/>
          <w:lang w:eastAsia="zh-CN"/>
        </w:rPr>
        <w:t>个标准差，总资产收益率平均提升约</w:t>
      </w:r>
      <w:r>
        <w:t>0.21</w:t>
      </w:r>
      <w:r>
        <w:rPr>
          <w:rFonts w:hint="eastAsia" w:ascii="宋体" w:hAnsi="宋体" w:eastAsia="宋体" w:cs="宋体"/>
          <w:lang w:eastAsia="zh-CN"/>
        </w:rPr>
        <w:t>个百分点，该结论在替换测度口径、替换绩效指标与滞后处理下均保持稳健。第三，转型绩效红利存在异质性，国有企业和高技术行业的效应更强。</w:t>
      </w:r>
    </w:p>
    <w:p w14:paraId="29ED3C70">
      <w:pPr>
        <w:pStyle w:val="5"/>
      </w:pPr>
      <w:bookmarkStart w:id="43" w:name="sec-4-2"/>
      <w:bookmarkEnd w:id="43"/>
      <w:bookmarkStart w:id="44" w:name="_Toc_sec_4_2"/>
      <w:r>
        <w:rPr>
          <w:rFonts w:hint="eastAsia" w:ascii="宋体" w:hAnsi="宋体" w:eastAsia="宋体" w:cs="宋体"/>
          <w:b/>
          <w:sz w:val="24"/>
          <w:lang w:eastAsia="zh-CN"/>
        </w:rPr>
        <w:t>（二）研究局限</w:t>
      </w:r>
      <w:bookmarkEnd w:id="44"/>
    </w:p>
    <w:p w14:paraId="316FD0B2">
      <w:pPr>
        <w:ind w:firstLine="480"/>
        <w:jc w:val="both"/>
      </w:pPr>
      <w:r>
        <w:rPr>
          <w:rFonts w:hint="eastAsia" w:ascii="宋体" w:hAnsi="宋体" w:eastAsia="宋体" w:cs="宋体"/>
          <w:lang w:eastAsia="zh-CN"/>
        </w:rPr>
        <w:t>本研究存在三方面局限。其一，词频占比法本质上捕捉的是企业对数字化的</w:t>
      </w:r>
      <w:r>
        <w:t>"</w:t>
      </w:r>
      <w:r>
        <w:rPr>
          <w:rFonts w:hint="eastAsia" w:ascii="宋体" w:hAnsi="宋体" w:eastAsia="宋体" w:cs="宋体"/>
          <w:lang w:eastAsia="zh-CN"/>
        </w:rPr>
        <w:t>叙事强度</w:t>
      </w:r>
      <w:r>
        <w:t>"</w:t>
      </w:r>
      <w:r>
        <w:rPr>
          <w:rFonts w:hint="eastAsia" w:ascii="宋体" w:hAnsi="宋体" w:eastAsia="宋体" w:cs="宋体"/>
          <w:lang w:eastAsia="zh-CN"/>
        </w:rPr>
        <w:t>，可能与实际投入存在偏差，尽管收敛效度检验部分缓解了该问题，但更精细的测度（如结合招聘文本、专利文本、财务投入数据的多源验证）仍有空间。其二，本文样本为演示数据，虽依据公开文献特征构造，但具体数值结论有待在真实数据上复现确认。其三，回归设计主要依赖固定效应与滞后处理缓解内生性，尚不能完全排除遗漏变量与反向因果，因果识别强度有限。</w:t>
      </w:r>
    </w:p>
    <w:p w14:paraId="695E6815">
      <w:pPr>
        <w:pStyle w:val="5"/>
      </w:pPr>
      <w:bookmarkStart w:id="45" w:name="sec-4-3"/>
      <w:bookmarkEnd w:id="45"/>
      <w:bookmarkStart w:id="46" w:name="_Toc_sec_4_3"/>
      <w:r>
        <w:rPr>
          <w:rFonts w:hint="eastAsia" w:ascii="宋体" w:hAnsi="宋体" w:eastAsia="宋体" w:cs="宋体"/>
          <w:b/>
          <w:sz w:val="24"/>
          <w:lang w:eastAsia="zh-CN"/>
        </w:rPr>
        <w:t>（三）未来展望</w:t>
      </w:r>
      <w:bookmarkEnd w:id="46"/>
    </w:p>
    <w:p w14:paraId="09A1F163">
      <w:pPr>
        <w:ind w:firstLine="480"/>
        <w:jc w:val="both"/>
      </w:pPr>
      <w:r>
        <w:rPr>
          <w:rFonts w:hint="eastAsia" w:ascii="宋体" w:hAnsi="宋体" w:eastAsia="宋体" w:cs="宋体"/>
          <w:lang w:eastAsia="zh-CN"/>
        </w:rPr>
        <w:t>后续研究可从三个方向深化：一是引入</w:t>
      </w:r>
      <w:r>
        <w:t>BERT</w:t>
      </w:r>
      <w:r>
        <w:rPr>
          <w:rFonts w:hint="eastAsia" w:ascii="宋体" w:hAnsi="宋体" w:eastAsia="宋体" w:cs="宋体"/>
          <w:lang w:eastAsia="zh-CN"/>
        </w:rPr>
        <w:t>等预训练语言模型进行语义级测度，识别数字化表述的语调与深度，超越简单词频；二是结合企业招聘数据、专利文本构建多源融合测度，提升构念效度；三是利用数字化转型相关政策（如</w:t>
      </w:r>
      <w:r>
        <w:t>"</w:t>
      </w:r>
      <w:r>
        <w:rPr>
          <w:rFonts w:hint="eastAsia" w:ascii="宋体" w:hAnsi="宋体" w:eastAsia="宋体" w:cs="宋体"/>
          <w:lang w:eastAsia="zh-CN"/>
        </w:rPr>
        <w:t>上云用数赋智</w:t>
      </w:r>
      <w:r>
        <w:t>"</w:t>
      </w:r>
      <w:r>
        <w:rPr>
          <w:rFonts w:hint="eastAsia" w:ascii="宋体" w:hAnsi="宋体" w:eastAsia="宋体" w:cs="宋体"/>
          <w:lang w:eastAsia="zh-CN"/>
        </w:rPr>
        <w:t>行动）构造准自然实验，运用双重差分方法强化因果识别，并进一步打开</w:t>
      </w:r>
      <w:r>
        <w:t>"</w:t>
      </w:r>
      <w:r>
        <w:rPr>
          <w:rFonts w:hint="eastAsia" w:ascii="宋体" w:hAnsi="宋体" w:eastAsia="宋体" w:cs="宋体"/>
          <w:lang w:eastAsia="zh-CN"/>
        </w:rPr>
        <w:t>转型</w:t>
      </w:r>
      <w:r>
        <w:t>—</w:t>
      </w:r>
      <w:r>
        <w:rPr>
          <w:rFonts w:hint="eastAsia" w:ascii="宋体" w:hAnsi="宋体" w:eastAsia="宋体" w:cs="宋体"/>
          <w:lang w:eastAsia="zh-CN"/>
        </w:rPr>
        <w:t>绩效</w:t>
      </w:r>
      <w:r>
        <w:t>"</w:t>
      </w:r>
      <w:r>
        <w:rPr>
          <w:rFonts w:hint="eastAsia" w:ascii="宋体" w:hAnsi="宋体" w:eastAsia="宋体" w:cs="宋体"/>
          <w:lang w:eastAsia="zh-CN"/>
        </w:rPr>
        <w:t>之间的机制黑箱。</w:t>
      </w:r>
    </w:p>
    <w:p w14:paraId="421334FB">
      <w:pPr>
        <w:pStyle w:val="4"/>
      </w:pPr>
      <w:bookmarkStart w:id="47" w:name="_Toc_sec_ref"/>
      <w:r>
        <w:rPr>
          <w:rFonts w:hint="eastAsia" w:ascii="宋体" w:hAnsi="宋体" w:eastAsia="宋体" w:cs="宋体"/>
          <w:b/>
          <w:sz w:val="28"/>
          <w:lang w:eastAsia="zh-CN"/>
        </w:rPr>
        <w:t>参考文献</w:t>
      </w:r>
      <w:bookmarkEnd w:id="47"/>
    </w:p>
    <w:p w14:paraId="4426F624">
      <w:pPr>
        <w:pStyle w:val="14"/>
        <w:numPr>
          <w:ilvl w:val="0"/>
          <w:numId w:val="7"/>
        </w:numPr>
        <w:spacing w:after="105"/>
        <w:ind w:firstLine="0"/>
        <w:jc w:val="both"/>
      </w:pPr>
      <w:r>
        <w:rPr>
          <w:sz w:val="21"/>
        </w:rPr>
        <w:t>Vial G. Understanding digital transformation: A review and a research agenda[J]. The Journal of Strategic Information Systems, 2019, 28(2): 118-144.</w:t>
      </w:r>
    </w:p>
    <w:p w14:paraId="69738541">
      <w:pPr>
        <w:pStyle w:val="14"/>
        <w:numPr>
          <w:ilvl w:val="0"/>
          <w:numId w:val="7"/>
        </w:numPr>
        <w:spacing w:after="105"/>
        <w:ind w:firstLine="0"/>
        <w:jc w:val="both"/>
      </w:pPr>
      <w:r>
        <w:rPr>
          <w:sz w:val="21"/>
        </w:rPr>
        <w:t>Brynjolfsson E, Li D, Raymond L. Generative AI at work[R]. NBER Working Paper No. 31161, 2023.</w:t>
      </w:r>
    </w:p>
    <w:p w14:paraId="4935EC96">
      <w:pPr>
        <w:pStyle w:val="14"/>
        <w:numPr>
          <w:ilvl w:val="0"/>
          <w:numId w:val="7"/>
        </w:numPr>
        <w:spacing w:after="105"/>
        <w:ind w:firstLine="0"/>
        <w:jc w:val="both"/>
      </w:pPr>
      <w:r>
        <w:rPr>
          <w:rFonts w:hint="eastAsia" w:ascii="宋体" w:hAnsi="宋体" w:eastAsia="宋体" w:cs="宋体"/>
          <w:sz w:val="21"/>
          <w:lang w:eastAsia="zh-CN"/>
        </w:rPr>
        <w:t>吴非</w:t>
      </w:r>
      <w:r>
        <w:rPr>
          <w:sz w:val="21"/>
        </w:rPr>
        <w:t xml:space="preserve">, </w:t>
      </w:r>
      <w:r>
        <w:rPr>
          <w:rFonts w:hint="eastAsia" w:ascii="宋体" w:hAnsi="宋体" w:eastAsia="宋体" w:cs="宋体"/>
          <w:sz w:val="21"/>
          <w:lang w:eastAsia="zh-CN"/>
        </w:rPr>
        <w:t>胡慧芷</w:t>
      </w:r>
      <w:r>
        <w:rPr>
          <w:sz w:val="21"/>
        </w:rPr>
        <w:t xml:space="preserve">, </w:t>
      </w:r>
      <w:r>
        <w:rPr>
          <w:rFonts w:hint="eastAsia" w:ascii="宋体" w:hAnsi="宋体" w:eastAsia="宋体" w:cs="宋体"/>
          <w:sz w:val="21"/>
          <w:lang w:eastAsia="zh-CN"/>
        </w:rPr>
        <w:t>林慧妍</w:t>
      </w:r>
      <w:r>
        <w:rPr>
          <w:sz w:val="21"/>
        </w:rPr>
        <w:t xml:space="preserve">, </w:t>
      </w:r>
      <w:r>
        <w:rPr>
          <w:rFonts w:hint="eastAsia" w:ascii="宋体" w:hAnsi="宋体" w:eastAsia="宋体" w:cs="宋体"/>
          <w:sz w:val="21"/>
          <w:lang w:eastAsia="zh-CN"/>
        </w:rPr>
        <w:t>等</w:t>
      </w:r>
      <w:r>
        <w:rPr>
          <w:sz w:val="21"/>
        </w:rPr>
        <w:t xml:space="preserve">. </w:t>
      </w:r>
      <w:r>
        <w:rPr>
          <w:rFonts w:hint="eastAsia" w:ascii="宋体" w:hAnsi="宋体" w:eastAsia="宋体" w:cs="宋体"/>
          <w:sz w:val="21"/>
          <w:lang w:eastAsia="zh-CN"/>
        </w:rPr>
        <w:t>企业数字化转型与资本市场表现</w:t>
      </w:r>
      <w:r>
        <w:rPr>
          <w:sz w:val="21"/>
        </w:rPr>
        <w:t>——</w:t>
      </w:r>
      <w:r>
        <w:rPr>
          <w:rFonts w:hint="eastAsia" w:ascii="宋体" w:hAnsi="宋体" w:eastAsia="宋体" w:cs="宋体"/>
          <w:sz w:val="21"/>
          <w:lang w:eastAsia="zh-CN"/>
        </w:rPr>
        <w:t>来自股票流动性的经验证据</w:t>
      </w:r>
      <w:r>
        <w:rPr>
          <w:sz w:val="21"/>
        </w:rPr>
        <w:t xml:space="preserve">[J]. </w:t>
      </w:r>
      <w:r>
        <w:rPr>
          <w:rFonts w:hint="eastAsia" w:ascii="宋体" w:hAnsi="宋体" w:eastAsia="宋体" w:cs="宋体"/>
          <w:sz w:val="21"/>
          <w:lang w:eastAsia="zh-CN"/>
        </w:rPr>
        <w:t>管理世界</w:t>
      </w:r>
      <w:r>
        <w:rPr>
          <w:sz w:val="21"/>
        </w:rPr>
        <w:t>, 2021, 37(7): 130-144.</w:t>
      </w:r>
    </w:p>
    <w:p w14:paraId="260D66F2">
      <w:pPr>
        <w:pStyle w:val="14"/>
        <w:numPr>
          <w:ilvl w:val="0"/>
          <w:numId w:val="7"/>
        </w:numPr>
        <w:spacing w:after="105"/>
        <w:ind w:firstLine="0"/>
        <w:jc w:val="both"/>
      </w:pPr>
      <w:r>
        <w:rPr>
          <w:rFonts w:hint="eastAsia" w:ascii="宋体" w:hAnsi="宋体" w:eastAsia="宋体" w:cs="宋体"/>
          <w:sz w:val="21"/>
          <w:lang w:eastAsia="zh-CN"/>
        </w:rPr>
        <w:t>戚聿东</w:t>
      </w:r>
      <w:r>
        <w:rPr>
          <w:sz w:val="21"/>
        </w:rPr>
        <w:t xml:space="preserve">, </w:t>
      </w:r>
      <w:r>
        <w:rPr>
          <w:rFonts w:hint="eastAsia" w:ascii="宋体" w:hAnsi="宋体" w:eastAsia="宋体" w:cs="宋体"/>
          <w:sz w:val="21"/>
          <w:lang w:eastAsia="zh-CN"/>
        </w:rPr>
        <w:t>肖旭</w:t>
      </w:r>
      <w:r>
        <w:rPr>
          <w:sz w:val="21"/>
        </w:rPr>
        <w:t xml:space="preserve">. </w:t>
      </w:r>
      <w:r>
        <w:rPr>
          <w:rFonts w:hint="eastAsia" w:ascii="宋体" w:hAnsi="宋体" w:eastAsia="宋体" w:cs="宋体"/>
          <w:sz w:val="21"/>
          <w:lang w:eastAsia="zh-CN"/>
        </w:rPr>
        <w:t>数字经济时代的企业管理变革</w:t>
      </w:r>
      <w:r>
        <w:rPr>
          <w:sz w:val="21"/>
        </w:rPr>
        <w:t xml:space="preserve">[J]. </w:t>
      </w:r>
      <w:r>
        <w:rPr>
          <w:rFonts w:hint="eastAsia" w:ascii="宋体" w:hAnsi="宋体" w:eastAsia="宋体" w:cs="宋体"/>
          <w:sz w:val="21"/>
          <w:lang w:eastAsia="zh-CN"/>
        </w:rPr>
        <w:t>管理世界</w:t>
      </w:r>
      <w:r>
        <w:rPr>
          <w:sz w:val="21"/>
        </w:rPr>
        <w:t>, 2020, 36(6): 135-152.</w:t>
      </w:r>
    </w:p>
    <w:p w14:paraId="0D49E216">
      <w:pPr>
        <w:pStyle w:val="14"/>
        <w:numPr>
          <w:ilvl w:val="0"/>
          <w:numId w:val="7"/>
        </w:numPr>
        <w:spacing w:after="105"/>
        <w:ind w:firstLine="0"/>
        <w:jc w:val="both"/>
      </w:pPr>
      <w:r>
        <w:rPr>
          <w:rFonts w:hint="eastAsia" w:ascii="宋体" w:hAnsi="宋体" w:eastAsia="宋体" w:cs="宋体"/>
          <w:sz w:val="21"/>
          <w:lang w:eastAsia="zh-CN"/>
        </w:rPr>
        <w:t>袁淳</w:t>
      </w:r>
      <w:r>
        <w:rPr>
          <w:sz w:val="21"/>
        </w:rPr>
        <w:t xml:space="preserve">, </w:t>
      </w:r>
      <w:r>
        <w:rPr>
          <w:rFonts w:hint="eastAsia" w:ascii="宋体" w:hAnsi="宋体" w:eastAsia="宋体" w:cs="宋体"/>
          <w:sz w:val="21"/>
          <w:lang w:eastAsia="zh-CN"/>
        </w:rPr>
        <w:t>肖土盛</w:t>
      </w:r>
      <w:r>
        <w:rPr>
          <w:sz w:val="21"/>
        </w:rPr>
        <w:t xml:space="preserve">, </w:t>
      </w:r>
      <w:r>
        <w:rPr>
          <w:rFonts w:hint="eastAsia" w:ascii="宋体" w:hAnsi="宋体" w:eastAsia="宋体" w:cs="宋体"/>
          <w:sz w:val="21"/>
          <w:lang w:eastAsia="zh-CN"/>
        </w:rPr>
        <w:t>耿春晓</w:t>
      </w:r>
      <w:r>
        <w:rPr>
          <w:sz w:val="21"/>
        </w:rPr>
        <w:t xml:space="preserve">, </w:t>
      </w:r>
      <w:r>
        <w:rPr>
          <w:rFonts w:hint="eastAsia" w:ascii="宋体" w:hAnsi="宋体" w:eastAsia="宋体" w:cs="宋体"/>
          <w:sz w:val="21"/>
          <w:lang w:eastAsia="zh-CN"/>
        </w:rPr>
        <w:t>等</w:t>
      </w:r>
      <w:r>
        <w:rPr>
          <w:sz w:val="21"/>
        </w:rPr>
        <w:t xml:space="preserve">. </w:t>
      </w:r>
      <w:r>
        <w:rPr>
          <w:rFonts w:hint="eastAsia" w:ascii="宋体" w:hAnsi="宋体" w:eastAsia="宋体" w:cs="宋体"/>
          <w:sz w:val="21"/>
          <w:lang w:eastAsia="zh-CN"/>
        </w:rPr>
        <w:t>数字化转型与企业分工：专业化还是纵向一体化</w:t>
      </w:r>
      <w:r>
        <w:rPr>
          <w:sz w:val="21"/>
        </w:rPr>
        <w:t xml:space="preserve">[J]. </w:t>
      </w:r>
      <w:r>
        <w:rPr>
          <w:rFonts w:hint="eastAsia" w:ascii="宋体" w:hAnsi="宋体" w:eastAsia="宋体" w:cs="宋体"/>
          <w:sz w:val="21"/>
          <w:lang w:eastAsia="zh-CN"/>
        </w:rPr>
        <w:t>中国工业经济</w:t>
      </w:r>
      <w:r>
        <w:rPr>
          <w:sz w:val="21"/>
        </w:rPr>
        <w:t>, 2021(9): 137-155.</w:t>
      </w:r>
    </w:p>
    <w:p w14:paraId="72E40B4B">
      <w:pPr>
        <w:pStyle w:val="14"/>
        <w:numPr>
          <w:ilvl w:val="0"/>
          <w:numId w:val="7"/>
        </w:numPr>
        <w:spacing w:after="105"/>
        <w:ind w:firstLine="0"/>
        <w:jc w:val="both"/>
      </w:pPr>
      <w:r>
        <w:rPr>
          <w:rFonts w:hint="eastAsia" w:ascii="宋体" w:hAnsi="宋体" w:eastAsia="宋体" w:cs="宋体"/>
          <w:sz w:val="21"/>
          <w:lang w:eastAsia="zh-CN"/>
        </w:rPr>
        <w:t>赵宸宇</w:t>
      </w:r>
      <w:r>
        <w:rPr>
          <w:sz w:val="21"/>
        </w:rPr>
        <w:t xml:space="preserve">, </w:t>
      </w:r>
      <w:r>
        <w:rPr>
          <w:rFonts w:hint="eastAsia" w:ascii="宋体" w:hAnsi="宋体" w:eastAsia="宋体" w:cs="宋体"/>
          <w:sz w:val="21"/>
          <w:lang w:eastAsia="zh-CN"/>
        </w:rPr>
        <w:t>王文春</w:t>
      </w:r>
      <w:r>
        <w:rPr>
          <w:sz w:val="21"/>
        </w:rPr>
        <w:t xml:space="preserve">, </w:t>
      </w:r>
      <w:r>
        <w:rPr>
          <w:rFonts w:hint="eastAsia" w:ascii="宋体" w:hAnsi="宋体" w:eastAsia="宋体" w:cs="宋体"/>
          <w:sz w:val="21"/>
          <w:lang w:eastAsia="zh-CN"/>
        </w:rPr>
        <w:t>李雪松</w:t>
      </w:r>
      <w:r>
        <w:rPr>
          <w:sz w:val="21"/>
        </w:rPr>
        <w:t xml:space="preserve">. </w:t>
      </w:r>
      <w:r>
        <w:rPr>
          <w:rFonts w:hint="eastAsia" w:ascii="宋体" w:hAnsi="宋体" w:eastAsia="宋体" w:cs="宋体"/>
          <w:sz w:val="21"/>
          <w:lang w:eastAsia="zh-CN"/>
        </w:rPr>
        <w:t>数字化转型如何影响企业全要素生产率</w:t>
      </w:r>
      <w:r>
        <w:rPr>
          <w:sz w:val="21"/>
        </w:rPr>
        <w:t xml:space="preserve">[J]. </w:t>
      </w:r>
      <w:r>
        <w:rPr>
          <w:rFonts w:hint="eastAsia" w:ascii="宋体" w:hAnsi="宋体" w:eastAsia="宋体" w:cs="宋体"/>
          <w:sz w:val="21"/>
          <w:lang w:eastAsia="zh-CN"/>
        </w:rPr>
        <w:t>财贸经济</w:t>
      </w:r>
      <w:r>
        <w:rPr>
          <w:sz w:val="21"/>
        </w:rPr>
        <w:t>, 2021, 42(7): 114-129.</w:t>
      </w:r>
    </w:p>
    <w:p w14:paraId="78DC5B84">
      <w:pPr>
        <w:pStyle w:val="14"/>
        <w:numPr>
          <w:ilvl w:val="0"/>
          <w:numId w:val="7"/>
        </w:numPr>
        <w:spacing w:after="105"/>
        <w:ind w:firstLine="0"/>
        <w:jc w:val="both"/>
      </w:pPr>
      <w:r>
        <w:rPr>
          <w:sz w:val="21"/>
        </w:rPr>
        <w:t>Hassani H, Huang X, Silva E S. Digitalisation and big data mining in banking[J]. Big Data Mining and Analytics, 2020, 3(3): 259-270.</w:t>
      </w:r>
    </w:p>
    <w:p w14:paraId="0037F007">
      <w:pPr>
        <w:pStyle w:val="14"/>
        <w:numPr>
          <w:ilvl w:val="0"/>
          <w:numId w:val="7"/>
        </w:numPr>
        <w:spacing w:after="105"/>
        <w:ind w:firstLine="0"/>
        <w:jc w:val="both"/>
      </w:pPr>
      <w:r>
        <w:rPr>
          <w:rFonts w:hint="eastAsia" w:ascii="宋体" w:hAnsi="宋体" w:eastAsia="宋体" w:cs="宋体"/>
          <w:sz w:val="21"/>
          <w:lang w:eastAsia="zh-CN"/>
        </w:rPr>
        <w:t>温忠麟</w:t>
      </w:r>
      <w:r>
        <w:rPr>
          <w:sz w:val="21"/>
        </w:rPr>
        <w:t xml:space="preserve">. </w:t>
      </w:r>
      <w:r>
        <w:rPr>
          <w:rFonts w:hint="eastAsia" w:ascii="宋体" w:hAnsi="宋体" w:eastAsia="宋体" w:cs="宋体"/>
          <w:sz w:val="21"/>
          <w:lang w:eastAsia="zh-CN"/>
        </w:rPr>
        <w:t>教育与心理统计中的信度与效度检验</w:t>
      </w:r>
      <w:r>
        <w:rPr>
          <w:sz w:val="21"/>
        </w:rPr>
        <w:t xml:space="preserve">[M]. </w:t>
      </w:r>
      <w:r>
        <w:rPr>
          <w:rFonts w:hint="eastAsia" w:ascii="宋体" w:hAnsi="宋体" w:eastAsia="宋体" w:cs="宋体"/>
          <w:sz w:val="21"/>
          <w:lang w:eastAsia="zh-CN"/>
        </w:rPr>
        <w:t>北京</w:t>
      </w:r>
      <w:r>
        <w:rPr>
          <w:sz w:val="21"/>
        </w:rPr>
        <w:t xml:space="preserve">: </w:t>
      </w:r>
      <w:r>
        <w:rPr>
          <w:rFonts w:hint="eastAsia" w:ascii="宋体" w:hAnsi="宋体" w:eastAsia="宋体" w:cs="宋体"/>
          <w:sz w:val="21"/>
          <w:lang w:eastAsia="zh-CN"/>
        </w:rPr>
        <w:t>北京师范大学出版社</w:t>
      </w:r>
      <w:r>
        <w:rPr>
          <w:sz w:val="21"/>
        </w:rPr>
        <w:t>, 2016.</w:t>
      </w:r>
    </w:p>
    <w:p w14:paraId="078A82EB">
      <w:pPr>
        <w:pStyle w:val="14"/>
        <w:numPr>
          <w:ilvl w:val="0"/>
          <w:numId w:val="7"/>
        </w:numPr>
        <w:spacing w:after="105"/>
        <w:ind w:firstLine="0"/>
        <w:jc w:val="both"/>
      </w:pPr>
      <w:r>
        <w:rPr>
          <w:rFonts w:hint="eastAsia" w:ascii="宋体" w:hAnsi="宋体" w:eastAsia="宋体" w:cs="宋体"/>
          <w:sz w:val="21"/>
          <w:lang w:eastAsia="zh-CN"/>
        </w:rPr>
        <w:t>陈国青</w:t>
      </w:r>
      <w:r>
        <w:rPr>
          <w:sz w:val="21"/>
        </w:rPr>
        <w:t xml:space="preserve">, </w:t>
      </w:r>
      <w:r>
        <w:rPr>
          <w:rFonts w:hint="eastAsia" w:ascii="宋体" w:hAnsi="宋体" w:eastAsia="宋体" w:cs="宋体"/>
          <w:sz w:val="21"/>
          <w:lang w:eastAsia="zh-CN"/>
        </w:rPr>
        <w:t>曾大军</w:t>
      </w:r>
      <w:r>
        <w:rPr>
          <w:sz w:val="21"/>
        </w:rPr>
        <w:t xml:space="preserve">, </w:t>
      </w:r>
      <w:r>
        <w:rPr>
          <w:rFonts w:hint="eastAsia" w:ascii="宋体" w:hAnsi="宋体" w:eastAsia="宋体" w:cs="宋体"/>
          <w:sz w:val="21"/>
          <w:lang w:eastAsia="zh-CN"/>
        </w:rPr>
        <w:t>卫强</w:t>
      </w:r>
      <w:r>
        <w:rPr>
          <w:sz w:val="21"/>
        </w:rPr>
        <w:t xml:space="preserve">, </w:t>
      </w:r>
      <w:r>
        <w:rPr>
          <w:rFonts w:hint="eastAsia" w:ascii="宋体" w:hAnsi="宋体" w:eastAsia="宋体" w:cs="宋体"/>
          <w:sz w:val="21"/>
          <w:lang w:eastAsia="zh-CN"/>
        </w:rPr>
        <w:t>等</w:t>
      </w:r>
      <w:r>
        <w:rPr>
          <w:sz w:val="21"/>
        </w:rPr>
        <w:t xml:space="preserve">. </w:t>
      </w:r>
      <w:r>
        <w:rPr>
          <w:rFonts w:hint="eastAsia" w:ascii="宋体" w:hAnsi="宋体" w:eastAsia="宋体" w:cs="宋体"/>
          <w:sz w:val="21"/>
          <w:lang w:eastAsia="zh-CN"/>
        </w:rPr>
        <w:t>大数据环境下的商务管理研究范式</w:t>
      </w:r>
      <w:r>
        <w:rPr>
          <w:sz w:val="21"/>
        </w:rPr>
        <w:t xml:space="preserve">[J]. </w:t>
      </w:r>
      <w:r>
        <w:rPr>
          <w:rFonts w:hint="eastAsia" w:ascii="宋体" w:hAnsi="宋体" w:eastAsia="宋体" w:cs="宋体"/>
          <w:sz w:val="21"/>
          <w:lang w:eastAsia="zh-CN"/>
        </w:rPr>
        <w:t>管理科学学报</w:t>
      </w:r>
      <w:r>
        <w:rPr>
          <w:sz w:val="21"/>
        </w:rPr>
        <w:t>, 2018, 21(7): 1-10.</w:t>
      </w:r>
    </w:p>
    <w:sectPr>
      <w:footerReference r:id="rId5" w:type="default"/>
      <w:pgSz w:w="11906" w:h="16838"/>
      <w:pgMar w:top="1701" w:right="1417"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79AB7">
    <w:pPr>
      <w:pStyle w:val="24"/>
      <w:tabs>
        <w:tab w:val="center" w:pos="4394"/>
        <w:tab w:val="right" w:pos="8788"/>
      </w:tabs>
    </w:pPr>
    <w:r>
      <w:tab/>
    </w:r>
    <w:r>
      <w:fldChar w:fldCharType="begin"/>
    </w:r>
    <w:r>
      <w:instrText xml:space="preserve">PAGE</w:instrText>
    </w:r>
    <w:r>
      <w:fldChar w:fldCharType="separate"/>
    </w:r>
    <w:r>
      <w:fldChar w:fldCharType="end"/>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6" w:lineRule="auto"/>
      </w:pPr>
      <w:r>
        <w:separator/>
      </w:r>
    </w:p>
  </w:footnote>
  <w:footnote w:type="continuationSeparator" w:id="1">
    <w:p>
      <w:pPr>
        <w:spacing w:before="0" w:after="0" w:line="30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U0MDMwN2I1ZTc0NGQ5YjZjMmQ0MmUxOWY4MWEwMDQifQ=="/>
  </w:docVars>
  <w:rsids>
    <w:rsidRoot w:val="00B47730"/>
    <w:rsid w:val="00034616"/>
    <w:rsid w:val="0006063C"/>
    <w:rsid w:val="0015074B"/>
    <w:rsid w:val="0029639D"/>
    <w:rsid w:val="00326F90"/>
    <w:rsid w:val="00AA1D8D"/>
    <w:rsid w:val="00B47730"/>
    <w:rsid w:val="00CB0664"/>
    <w:rsid w:val="00F7441C"/>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6" w:lineRule="auto"/>
      <w:ind w:firstLine="480"/>
      <w:jc w:val="both"/>
    </w:pPr>
    <w:rPr>
      <w:rFonts w:ascii="宋体" w:hAnsi="宋体"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240"/>
      <w:outlineLvl w:val="0"/>
    </w:pPr>
    <w:rPr>
      <w:rFonts w:ascii="黑体" w:hAnsi="黑体" w:eastAsia="黑体"/>
      <w:b/>
      <w:bCs/>
      <w:color w:val="376092" w:themeColor="accent1" w:themeShade="BF"/>
      <w:sz w:val="30"/>
      <w:szCs w:val="28"/>
    </w:rPr>
  </w:style>
  <w:style w:type="paragraph" w:styleId="4">
    <w:name w:val="heading 2"/>
    <w:basedOn w:val="1"/>
    <w:next w:val="1"/>
    <w:link w:val="139"/>
    <w:unhideWhenUsed/>
    <w:qFormat/>
    <w:uiPriority w:val="9"/>
    <w:pPr>
      <w:keepNext/>
      <w:keepLines/>
      <w:spacing w:before="360" w:after="120"/>
      <w:outlineLvl w:val="1"/>
    </w:pPr>
    <w:rPr>
      <w:rFonts w:ascii="黑体" w:hAnsi="黑体" w:eastAsia="黑体"/>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40" w:after="120"/>
      <w:outlineLvl w:val="2"/>
    </w:pPr>
    <w:rPr>
      <w:rFonts w:ascii="黑体" w:hAnsi="黑体" w:eastAsia="黑体"/>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8666</Words>
  <Characters>10456</Characters>
  <Lines>0</Lines>
  <Paragraphs>0</Paragraphs>
  <TotalTime>2</TotalTime>
  <ScaleCrop>false</ScaleCrop>
  <LinksUpToDate>false</LinksUpToDate>
  <CharactersWithSpaces>10720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Twinkle_微凉、</cp:lastModifiedBy>
  <dcterms:modified xsi:type="dcterms:W3CDTF">2026-10-10T09:35:04Z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8E166D8BF331486FA8426F064CC2F10B_12</vt:lpwstr>
  </property>
</Properties>
</file>