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5"/>
        <w:rPr/>
      </w:pPr>
      <w:bookmarkStart w:colFirst="0" w:colLast="0" w:name="_m3o8uhcpyxze" w:id="0"/>
      <w:bookmarkEnd w:id="0"/>
      <w:r w:rsidDel="00000000" w:rsidR="00000000" w:rsidRPr="00000000">
        <w:rPr>
          <w:rtl w:val="0"/>
        </w:rPr>
        <w:t xml:space="preserve">Common School Project</w:t>
      </w:r>
    </w:p>
    <w:p w:rsidR="00000000" w:rsidDel="00000000" w:rsidP="00000000" w:rsidRDefault="00000000" w:rsidRPr="00000000" w14:paraId="00000002">
      <w:pPr>
        <w:pStyle w:val="Heading5"/>
        <w:rPr>
          <w:b w:val="0"/>
          <w:bCs w:val="0"/>
          <w:i w:val="1"/>
          <w:iCs w:val="1"/>
        </w:rPr>
      </w:pPr>
      <w:bookmarkStart w:colFirst="0" w:colLast="0" w:name="_eelqsm77dorb" w:id="1"/>
      <w:bookmarkEnd w:id="1"/>
      <w:hyperlink r:id="rId6">
        <w:r w:rsidDel="00000000" w:rsidR="00000000" w:rsidRPr="00000000">
          <w:rPr>
            <w:b w:val="0"/>
            <w:bCs w:val="0"/>
            <w:i w:val="1"/>
            <w:iCs w:val="1"/>
            <w:color w:val="1155cc"/>
            <w:u w:val="single"/>
            <w:rtl w:val="0"/>
          </w:rPr>
          <w:t xml:space="preserve">Resources &amp; Links</w:t>
        </w:r>
      </w:hyperlink>
      <w:r w:rsidDel="00000000" w:rsidR="00000000" w:rsidRPr="00000000">
        <w:rPr>
          <w:rtl w:val="0"/>
        </w:rPr>
      </w:r>
    </w:p>
    <w:p w:rsidR="00000000" w:rsidDel="00000000" w:rsidP="00000000" w:rsidRDefault="00000000" w:rsidRPr="00000000" w14:paraId="00000003">
      <w:pPr>
        <w:pStyle w:val="Heading2"/>
        <w:rPr>
          <w:rFonts w:ascii="EB Garamond SemiBold" w:cs="EB Garamond SemiBold" w:eastAsia="EB Garamond SemiBold" w:hAnsi="EB Garamond SemiBold"/>
          <w:b w:val="0"/>
          <w:bCs w:val="0"/>
        </w:rPr>
      </w:pPr>
      <w:bookmarkStart w:colFirst="0" w:colLast="0" w:name="_3bbp3kqxwpe5" w:id="2"/>
      <w:bookmarkEnd w:id="2"/>
      <w:r w:rsidDel="00000000" w:rsidR="00000000" w:rsidRPr="00000000">
        <w:rPr>
          <w:rFonts w:ascii="EB Garamond SemiBold" w:cs="EB Garamond SemiBold" w:eastAsia="EB Garamond SemiBold" w:hAnsi="EB Garamond SemiBold"/>
          <w:b w:val="0"/>
          <w:bCs w:val="0"/>
          <w:rtl w:val="0"/>
        </w:rPr>
        <w:t xml:space="preserve">Planning Notes – 2023 DH Lightning Talks</w:t>
      </w:r>
    </w:p>
    <w:p w:rsidR="00000000" w:rsidDel="00000000" w:rsidP="00000000" w:rsidRDefault="00000000" w:rsidRPr="00000000" w14:paraId="00000004">
      <w:pPr>
        <w:rPr/>
      </w:pPr>
      <w:r w:rsidDel="00000000" w:rsidR="00000000" w:rsidRPr="00000000">
        <w:rPr>
          <w:rtl w:val="0"/>
        </w:rPr>
        <w:t xml:space="preserve">Background</w:t>
      </w:r>
    </w:p>
    <w:p w:rsidR="00000000" w:rsidDel="00000000" w:rsidP="00000000" w:rsidRDefault="00000000" w:rsidRPr="00000000" w14:paraId="00000005">
      <w:pPr>
        <w:rPr/>
      </w:pPr>
      <w:r w:rsidDel="00000000" w:rsidR="00000000" w:rsidRPr="00000000">
        <w:rPr>
          <w:rtl w:val="0"/>
        </w:rPr>
        <w:t xml:space="preserve">“Age of the Commons School” (1830-1865) refers to the 35 years preceding the end of the Civil War during which there occurred a largely successful campaign to attain free, universal, public schooling. This period is also “The Era of Reform,”“Antebellum America,” and saw the erection of canals and railroads. </w:t>
      </w:r>
    </w:p>
    <w:p w:rsidR="00000000" w:rsidDel="00000000" w:rsidP="00000000" w:rsidRDefault="00000000" w:rsidRPr="00000000" w14:paraId="00000006">
      <w:pPr>
        <w:rPr/>
      </w:pPr>
      <w:r w:rsidDel="00000000" w:rsidR="00000000" w:rsidRPr="00000000">
        <w:rPr>
          <w:rtl w:val="0"/>
        </w:rPr>
        <w:t xml:space="preserve">The common school movement was initiated, and led by men who were dissatisfied with the quality of and the opportunities for education in their states. At the same time, the future of America was to be reshaped by  newly arrived Irish Catholic and German immigrants, growing and unpropertied working class, as well as those who accumulated wealth during the industrial age. To ensure a egalitarian social structure,  reformers placed great faith in a system of schooling in which children from all classes, from all walks of life, together, and in common, would be exposed to the rudiments of learning and the virtues of patriotism and morality. </w:t>
      </w:r>
    </w:p>
    <w:p w:rsidR="00000000" w:rsidDel="00000000" w:rsidP="00000000" w:rsidRDefault="00000000" w:rsidRPr="00000000" w14:paraId="00000007">
      <w:pPr>
        <w:rPr/>
      </w:pPr>
      <w:r w:rsidDel="00000000" w:rsidR="00000000" w:rsidRPr="00000000">
        <w:rPr>
          <w:rtl w:val="0"/>
        </w:rPr>
        <w:t xml:space="preserve">In New York State, settlers among westward migrating New Englanders were instrumental in challenging the established tradition of tuition-supported private and religious education for the privileged and charity schooling sponsored by philanthropic agencies for the poor. By 1830, a series of legislative enactments had established a system of public elementary education with responsibility for control, supervision, and funding divided among the state government, towns, and school districts. To raise additional funds, districts were authorized to employ the rate-bill device, which placed an additional tax on each family based on the number of children enrolled in the public schools and the number of days in attendance. The rate-bill thus became a primary target of New York school reformers throughout the 1830s and 1840s. The citizens of New York would first have to be convinced that their welfare and that of the state was dependent on the education of other people’s children. </w:t>
      </w:r>
    </w:p>
    <w:p w:rsidR="00000000" w:rsidDel="00000000" w:rsidP="00000000" w:rsidRDefault="00000000" w:rsidRPr="00000000" w14:paraId="00000008">
      <w:pPr>
        <w:rPr/>
      </w:pPr>
      <w:r w:rsidDel="00000000" w:rsidR="00000000" w:rsidRPr="00000000">
        <w:rPr>
          <w:rtl w:val="0"/>
        </w:rPr>
        <w:t xml:space="preserve">The extent of state aid in terms of both initial and supplementary grants varied. The degree of state supervision also varied from state to state. New York, with its system of state inspectors and its requirements that academies offer instruction in pedagogy and college preparatory curse, exemplifies a particularly high degree of involvement. However, in New York, as in every state, the principle of laissez faire prevailed. </w:t>
      </w:r>
    </w:p>
    <w:p w:rsidR="00000000" w:rsidDel="00000000" w:rsidP="00000000" w:rsidRDefault="00000000" w:rsidRPr="00000000" w14:paraId="00000009">
      <w:pPr>
        <w:rPr/>
      </w:pPr>
      <w:r w:rsidDel="00000000" w:rsidR="00000000" w:rsidRPr="00000000">
        <w:rPr>
          <w:rtl w:val="0"/>
        </w:rPr>
        <w:t xml:space="preserve">Given Omeka’s information architecture (e.g. items, exhibits, collections), what are some of the </w:t>
      </w:r>
      <w:r w:rsidDel="00000000" w:rsidR="00000000" w:rsidRPr="00000000">
        <w:rPr>
          <w:rtl w:val="0"/>
        </w:rPr>
        <w:t xml:space="preserve">narratives / gaps / silences in NYS common school history would we want to feature in the homepage? </w:t>
      </w:r>
    </w:p>
    <w:p w:rsidR="00000000" w:rsidDel="00000000" w:rsidP="00000000" w:rsidRDefault="00000000" w:rsidRPr="00000000" w14:paraId="0000000A">
      <w:pPr>
        <w:rPr/>
      </w:pPr>
      <w:r w:rsidDel="00000000" w:rsidR="00000000" w:rsidRPr="00000000">
        <w:rPr>
          <w:rtl w:val="0"/>
        </w:rPr>
        <w:t xml:space="preserve">Should we curate Omeka’s featured categories based on our available archival materials? what about the online resources that I’ve gathered? How can we connect these resources to relevant historical trends in our periodized arc of common school history? How can we introduce our findings in ways that signal pivot points and surmised gaps in the record, and which challenge dominant accounts of NYS education and the life of the common schools? Or both? </w:t>
      </w:r>
    </w:p>
    <w:p w:rsidR="00000000" w:rsidDel="00000000" w:rsidP="00000000" w:rsidRDefault="00000000" w:rsidRPr="00000000" w14:paraId="0000000B">
      <w:pPr>
        <w:numPr>
          <w:ilvl w:val="0"/>
          <w:numId w:val="1"/>
        </w:numPr>
        <w:spacing w:after="0" w:afterAutospacing="0"/>
        <w:ind w:left="720" w:hanging="360"/>
      </w:pPr>
      <w:r w:rsidDel="00000000" w:rsidR="00000000" w:rsidRPr="00000000">
        <w:rPr>
          <w:rtl w:val="0"/>
        </w:rPr>
        <w:t xml:space="preserve">Items</w:t>
      </w:r>
    </w:p>
    <w:p w:rsidR="00000000" w:rsidDel="00000000" w:rsidP="00000000" w:rsidRDefault="00000000" w:rsidRPr="00000000" w14:paraId="0000000C">
      <w:pPr>
        <w:numPr>
          <w:ilvl w:val="0"/>
          <w:numId w:val="1"/>
        </w:numPr>
        <w:spacing w:after="0" w:afterAutospacing="0"/>
        <w:ind w:left="720" w:hanging="360"/>
      </w:pPr>
      <w:r w:rsidDel="00000000" w:rsidR="00000000" w:rsidRPr="00000000">
        <w:rPr>
          <w:rtl w:val="0"/>
        </w:rPr>
        <w:t xml:space="preserve">Collections</w:t>
      </w:r>
    </w:p>
    <w:p w:rsidR="00000000" w:rsidDel="00000000" w:rsidP="00000000" w:rsidRDefault="00000000" w:rsidRPr="00000000" w14:paraId="0000000D">
      <w:pPr>
        <w:numPr>
          <w:ilvl w:val="0"/>
          <w:numId w:val="1"/>
        </w:numPr>
        <w:ind w:left="720" w:hanging="360"/>
        <w:rPr>
          <w:strike w:val="1"/>
        </w:rPr>
      </w:pPr>
      <w:r w:rsidDel="00000000" w:rsidR="00000000" w:rsidRPr="00000000">
        <w:rPr>
          <w:strike w:val="1"/>
          <w:rtl w:val="0"/>
        </w:rPr>
        <w:t xml:space="preserve">Exhibits</w:t>
      </w:r>
      <w:r w:rsidDel="00000000" w:rsidR="00000000" w:rsidRPr="00000000">
        <w:rPr>
          <w:rtl w:val="0"/>
        </w:rPr>
      </w:r>
    </w:p>
    <w:p w:rsidR="00000000" w:rsidDel="00000000" w:rsidP="00000000" w:rsidRDefault="00000000" w:rsidRPr="00000000" w14:paraId="0000000E">
      <w:pPr>
        <w:pStyle w:val="Heading2"/>
        <w:rPr/>
      </w:pPr>
      <w:bookmarkStart w:colFirst="0" w:colLast="0" w:name="_ksn99spnqxvi" w:id="3"/>
      <w:bookmarkEnd w:id="3"/>
      <w:r w:rsidDel="00000000" w:rsidR="00000000" w:rsidRPr="00000000">
        <w:rPr>
          <w:rtl w:val="0"/>
        </w:rPr>
        <w:t xml:space="preserve">Draft Fragments</w:t>
      </w:r>
    </w:p>
    <w:p w:rsidR="00000000" w:rsidDel="00000000" w:rsidP="00000000" w:rsidRDefault="00000000" w:rsidRPr="00000000" w14:paraId="0000000F">
      <w:pPr>
        <w:rPr>
          <w:color w:val="212529"/>
        </w:rPr>
      </w:pPr>
      <w:r w:rsidDel="00000000" w:rsidR="00000000" w:rsidRPr="00000000">
        <w:rPr>
          <w:rtl w:val="0"/>
        </w:rPr>
        <w:t xml:space="preserve">Our original plans for the project were to develop an digital map of the common school education system in New York State from 18xx - 19xx plotted with geographic coordinates for common schools and local schooldistricts, featured with archival documentation on the establishment and contemporary maps layers for the surrounding township, school districts both then and now. </w:t>
        <w:br w:type="textWrapping"/>
        <w:t xml:space="preserve">--</w:t>
        <w:br w:type="textWrapping"/>
        <w:t xml:space="preserve">We shifted the design of our project from an interactive map in response to knowledge gleaned from archival materials in addition to guidance from archivists on staff at Cornell [Full School Name] and the New York State Archive. </w:t>
        <w:br w:type="textWrapping"/>
        <w:t xml:space="preserve">--</w:t>
        <w:br w:type="textWrapping"/>
      </w:r>
      <w:r w:rsidDel="00000000" w:rsidR="00000000" w:rsidRPr="00000000">
        <w:rPr>
          <w:color w:val="212529"/>
          <w:rtl w:val="0"/>
        </w:rPr>
        <w:t xml:space="preserve">As the common school movement took hold in the mid-nineteenth century, it received considerable public funds and challenged the concept of direct government support for private schooling. </w:t>
      </w:r>
    </w:p>
    <w:p w:rsidR="00000000" w:rsidDel="00000000" w:rsidP="00000000" w:rsidRDefault="00000000" w:rsidRPr="00000000" w14:paraId="00000010">
      <w:pPr>
        <w:rPr/>
      </w:pPr>
      <w:r w:rsidDel="00000000" w:rsidR="00000000" w:rsidRPr="00000000">
        <w:rPr>
          <w:color w:val="212529"/>
          <w:rtl w:val="0"/>
        </w:rPr>
        <w:t xml:space="preserve">--</w:t>
        <w:br w:type="textWrapping"/>
        <w:t xml:space="preserve">We hope to build out the archive by inviting archival contributions from county historians with access to archival records that were otherwise damaged beyond repair in the NYS Capital Fire of 1911. Our three collections will therefore serve as the basis of longer and more dedicated archival project on the lost lineage of the New York State Common School Movement, deferring to a locally situated records distributed across county historical societies and regional state archives.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EB Garamond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141412"/>
        <w:sz w:val="24"/>
        <w:szCs w:val="24"/>
        <w:highlight w:val="white"/>
        <w:lang w:val="en"/>
      </w:rPr>
    </w:rPrDefault>
    <w:pPrDefault>
      <w:pPr>
        <w:spacing w:after="36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20" w:before="220" w:lineRule="auto"/>
    </w:pPr>
    <w:rPr>
      <w:rFonts w:ascii="EB Garamond SemiBold" w:cs="EB Garamond SemiBold" w:eastAsia="EB Garamond SemiBold" w:hAnsi="EB Garamond SemiBold"/>
      <w:sz w:val="28"/>
      <w:szCs w:val="28"/>
    </w:rPr>
  </w:style>
  <w:style w:type="paragraph" w:styleId="Heading2">
    <w:name w:val="heading 2"/>
    <w:basedOn w:val="Normal"/>
    <w:next w:val="Normal"/>
    <w:pPr>
      <w:keepNext w:val="1"/>
      <w:keepLines w:val="1"/>
      <w:spacing w:after="80" w:before="360" w:lineRule="auto"/>
    </w:pPr>
    <w:rPr>
      <w:b w:val="1"/>
      <w:bCs w:val="1"/>
    </w:rPr>
  </w:style>
  <w:style w:type="paragraph" w:styleId="Heading3">
    <w:name w:val="heading 3"/>
    <w:basedOn w:val="Normal"/>
    <w:next w:val="Normal"/>
    <w:pPr>
      <w:keepNext w:val="1"/>
      <w:keepLines w:val="1"/>
      <w:spacing w:after="0" w:before="220" w:line="240" w:lineRule="auto"/>
    </w:pPr>
    <w:rPr>
      <w:b w:val="1"/>
      <w:bCs w:val="1"/>
      <w:sz w:val="28"/>
      <w:szCs w:val="28"/>
    </w:rPr>
  </w:style>
  <w:style w:type="paragraph" w:styleId="Heading4">
    <w:name w:val="heading 4"/>
    <w:basedOn w:val="Normal"/>
    <w:next w:val="Normal"/>
    <w:pPr>
      <w:keepNext w:val="1"/>
      <w:keepLines w:val="1"/>
      <w:spacing w:after="220" w:before="220" w:lineRule="auto"/>
    </w:pPr>
    <w:rPr>
      <w:b w:val="1"/>
      <w:bCs w:val="1"/>
      <w:color w:val="000000"/>
    </w:rPr>
  </w:style>
  <w:style w:type="paragraph" w:styleId="Heading5">
    <w:name w:val="heading 5"/>
    <w:basedOn w:val="Normal"/>
    <w:next w:val="Normal"/>
    <w:pPr>
      <w:keepNext w:val="1"/>
      <w:keepLines w:val="1"/>
      <w:spacing w:after="220" w:before="220" w:lineRule="auto"/>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60"/>
      <w:szCs w:val="60"/>
    </w:rPr>
  </w:style>
  <w:style w:type="paragraph" w:styleId="Subtitle">
    <w:name w:val="Subtitle"/>
    <w:basedOn w:val="Normal"/>
    <w:next w:val="Normal"/>
    <w:pPr>
      <w:keepNext w:val="1"/>
      <w:keepLines w:val="1"/>
      <w:spacing w:after="60" w:lineRule="auto"/>
    </w:pPr>
    <w:rPr>
      <w:rFonts w:ascii="EB Garamond" w:cs="EB Garamond" w:eastAsia="EB Garamond" w:hAnsi="EB Garamond"/>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NVVUxIKM2RaTuYcrpVQ5f5jDMBktc4xHvEIUJ7DPEJE/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SemiBold-regular.ttf"/><Relationship Id="rId2" Type="http://schemas.openxmlformats.org/officeDocument/2006/relationships/font" Target="fonts/EBGaramondSemiBold-bold.ttf"/><Relationship Id="rId3" Type="http://schemas.openxmlformats.org/officeDocument/2006/relationships/font" Target="fonts/EBGaramondSemiBold-italic.ttf"/><Relationship Id="rId4" Type="http://schemas.openxmlformats.org/officeDocument/2006/relationships/font" Target="fonts/EBGaramondSemiBold-boldItalic.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