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color w:val="000000"/>
          <w:shd w:fill="auto" w:val="clear"/>
        </w:rPr>
      </w:pPr>
      <w:r w:rsidDel="00000000" w:rsidR="00000000" w:rsidRPr="00000000">
        <w:rPr>
          <w:b w:val="1"/>
          <w:bCs w:val="1"/>
          <w:rtl w:val="0"/>
        </w:rPr>
        <w:t xml:space="preserve">Editors’ Column, Chy Sprauve,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i w:val="1"/>
          <w:iCs w:val="1"/>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1: Changes located by JBW editors</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 10 “towards transformative collective change” to toward</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mirror Kynard if needed: p. 3 quotes “towards students like Haven.”</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Shor DOI on p. 12: “JBWJ.1997.16.1.08” vs. JBW-J format</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Lorde-entry editor names if possible; p. 11 has “Rudolph P. Byrd et al.”</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regularize coauthor commas: p. 10 “Lawrence, Patricia and William Herman.”</w:t>
      </w:r>
      <w:r w:rsidDel="00000000" w:rsidR="00000000" w:rsidRPr="00000000">
        <w:rPr>
          <w:rtl w:val="0"/>
        </w:rPr>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This sentence might need fresh eyes: In a social and political landscape that is attempting to close the door on thorough “case studies” of all kinds on the path to obstructing all thoughtful approaches to compassionate co-existence, acknowledging the primacy of historical context in our scholarship is more crucial than ever</w:t>
      </w:r>
    </w:p>
    <w:p w:rsidR="00000000" w:rsidDel="00000000" w:rsidP="00000000" w:rsidRDefault="00000000" w:rsidRPr="00000000" w14:paraId="0000000D">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0">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3">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4">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5">
      <w:pPr>
        <w:numPr>
          <w:ilvl w:val="0"/>
          <w:numId w:val="1"/>
        </w:numPr>
        <w:spacing w:after="0" w:line="240" w:lineRule="auto"/>
        <w:ind w:left="720" w:hanging="360"/>
        <w:rPr>
          <w:rFonts w:ascii="Times New Roman" w:cs="Times New Roman" w:eastAsia="Times New Roman" w:hAnsi="Times New Roman"/>
          <w:b w:val="1"/>
          <w:bCs w:val="1"/>
          <w:i w:val="1"/>
          <w:iCs w:val="1"/>
          <w:color w:val="000000"/>
          <w:u w:val="none"/>
          <w:shd w:fill="auto" w:val="clea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