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Community Notes, </w:t>
      </w:r>
      <w:r w:rsidDel="00000000" w:rsidR="00000000" w:rsidRPr="00000000">
        <w:rPr>
          <w:rFonts w:ascii="Times New Roman" w:cs="Times New Roman" w:eastAsia="Times New Roman" w:hAnsi="Times New Roman"/>
          <w:b w:val="1"/>
          <w:bCs w:val="1"/>
          <w:rtl w:val="0"/>
        </w:rPr>
        <w:t xml:space="preserve">CUNY &amp; the Bronx County Historical Society Archives, Vani Kannan &amp; Steven Payne</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abstract and keywords; p. 94 still has “ABSTRACT. [ABSTRACT TK]” and “KEYWORDS: [KEYWORDS TK]”</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author bios; p. 95 still has two template bios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confirm with authors that title/running-head should use ampersand instead of “and”: p. 94 “CUNY &amp; the Bronx County...”</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94, five lines from start of article: consider removing “--including Vani–” as the phrase feels out of place in the sentence and at this early point in the article</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96, 9 lines from bottom: replace “who” with “whom”</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96, 7 lines from bottom, please re-read and revise/condense this sentence for clarity: </w:t>
      </w:r>
      <w:r w:rsidDel="00000000" w:rsidR="00000000" w:rsidRPr="00000000">
        <w:rPr>
          <w:rFonts w:ascii="Times New Roman" w:cs="Times New Roman" w:eastAsia="Times New Roman" w:hAnsi="Times New Roman"/>
          <w:shd w:fill="auto" w:val="clear"/>
          <w:rtl w:val="0"/>
        </w:rPr>
        <w:t xml:space="preserve">“The majority of Vani’s students lived in the Bronx, and in this context, teaching with social movement archives aimed to push back against ahistorical racist, classist renderings of the borough that erase both grassroots social justice movements and the redlining and disinvestment that shaped its geography.”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100, 2nd paragraph, 10 lines down: paragraph break needed starting with the words “On the other hand, actualizing…” as per the original manuscript</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shd w:fill="auto" w:val="clear"/>
        </w:rPr>
      </w:pPr>
      <w:r w:rsidDel="00000000" w:rsidR="00000000" w:rsidRPr="00000000">
        <w:rPr>
          <w:rFonts w:ascii="Times New Roman" w:cs="Times New Roman" w:eastAsia="Times New Roman" w:hAnsi="Times New Roman"/>
          <w:highlight w:val="yellow"/>
          <w:rtl w:val="0"/>
        </w:rPr>
        <w:t xml:space="preserve">p. 100, 13 lines from the bottom: please consider revising the following long sentence for clarity and succinctness: </w:t>
      </w:r>
      <w:r w:rsidDel="00000000" w:rsidR="00000000" w:rsidRPr="00000000">
        <w:rPr>
          <w:rFonts w:ascii="Times New Roman" w:cs="Times New Roman" w:eastAsia="Times New Roman" w:hAnsi="Times New Roman"/>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For example, the history of Bronx health justice movements focus that revolutionary groups like the Young Lords had on healthcare was certainly crucial at the time </w:t>
      </w:r>
      <w:r w:rsidDel="00000000" w:rsidR="00000000" w:rsidRPr="00000000">
        <w:rPr>
          <w:rFonts w:ascii="Times New Roman" w:cs="Times New Roman" w:eastAsia="Times New Roman" w:hAnsi="Times New Roman"/>
          <w:i w:val="1"/>
          <w:iCs w:val="1"/>
          <w:color w:val="000000"/>
          <w:shd w:fill="auto" w:val="clear"/>
          <w:rtl w:val="0"/>
        </w:rPr>
        <w:t xml:space="preserve">[should this read, “the Young Lords’ focus on Bronx health justice movements…”?]</w:t>
      </w:r>
      <w:r w:rsidDel="00000000" w:rsidR="00000000" w:rsidRPr="00000000">
        <w:rPr>
          <w:rFonts w:ascii="Times New Roman" w:cs="Times New Roman" w:eastAsia="Times New Roman" w:hAnsi="Times New Roman"/>
          <w:color w:val="000000"/>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 with the mushrooming of the medical industrial complex in the U.S. in the five decades since, the nurses’ strikes at nearby Montefiore Hospital, and ongoing campaigns around reproductive justice and safe/healthy housing, though, this focus now appears absolutely prescient and as one of the most vital contributions of that era of struggle—and offers a particularly salient focus for Lehman’s many students who will go into health professions in local hospitals.”</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p. 102 Augustine date: “5 February 2026”</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102, Note 1: Does this need to be a note or should it be in the body of the text? Is this information necessary to a reader's understanding of how Steven and Vani met? (In other words, do readers need to know that Vani overheard this conversation?) Vani and Steven met at the green space event and that's how they became collaborators, or are we misunderstanding?</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add missing web-entry metadata or n.d. on p. 103 where needed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We want to suggest that you condense Figure 1 and Figure 2 captions to include only the first sentences (depicted below). We invite the authors to reference the figures in the body of the text, rather than build their contextualization into the caption itself. Please let us know if you accept this change and what changes are needed in the body text, if any.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576763" cy="3062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763" cy="306258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B">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D">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