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Activating Legacies of Freedom</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to Transform Economies of Prestige in Academia and Ourselves, Javiela Evangelista</w:t>
      </w:r>
    </w:p>
    <w:p w:rsidR="00000000" w:rsidDel="00000000" w:rsidP="00000000" w:rsidRDefault="00000000" w:rsidRPr="00000000" w14:paraId="00000002">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highlight w:val="yellow"/>
          <w:rtl w:val="0"/>
        </w:rPr>
        <w:t xml:space="preserve">Does the epigraph have a source text? </w:t>
      </w:r>
    </w:p>
    <w:p w:rsidR="00000000" w:rsidDel="00000000" w:rsidP="00000000" w:rsidRDefault="00000000" w:rsidRPr="00000000" w14:paraId="00000008">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highlight w:val="yellow"/>
          <w:rtl w:val="0"/>
        </w:rPr>
        <w:t xml:space="preserve">Author should check what appears to be an incomplete works cited entry for the CUNY Digital History Archive</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alphabetize p. 104 keywords: “liberation literacies; anti-racist praxis; legacies...”</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restore García Peña accents: p. 104 and p. 116 have Garcia; p. 118 Works Cited has García</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change “towards”: p. 109 “towards small businesses”; p. 110 “towards liberatory possibilities.”</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remove years from parentheticals: p. 110 “Butler 2024”; p. 111 “Poe, 2024” and “Angela, 2024.”</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remove comma in p. 113 “Smith, et al.”</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clean p. 117 Adler list: “Adler, Josh and Rosa Angela, Wendy...”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fix p. 117 Butler review title nested quotes around “Black Diasporic Visions...”</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complete p. 117 “CUNY Digital History Archive.” entry</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fix p. 118 Carla Shed/Shedd; body p. 109 uses Shedd</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reorder p. 118 Givens entry; it starts “Givens, Jarvis. 2021”</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regularize WAC/UP of Colorado wording in p. 118 Inoue entry</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clean p. 119 TLH entry; names and roles run together</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9">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D">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E">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