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Oil/School: Land and Affiliation in the Age of Fossil Ed, Daisy Atterbury</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“towards”: p. 68 “towards the Front Range”; p. 73 “work towards”; p. 89 “towards alternative affiliations”</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 70, line 4, remove symbol after “recomposing”</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bare governor URLs: p. 69 and p. 74 “</w:t>
      </w:r>
      <w:hyperlink r:id="rId6">
        <w:r w:rsidDel="00000000" w:rsidR="00000000" w:rsidRPr="00000000">
          <w:rPr>
            <w:rFonts w:ascii="Times New Roman" w:cs="Times New Roman" w:eastAsia="Times New Roman" w:hAnsi="Times New Roman"/>
            <w:color w:val="1155cc"/>
            <w:u w:val="single"/>
            <w:rtl w:val="0"/>
          </w:rPr>
          <w:t xml:space="preserve">www.governor.state.nm.us/</w:t>
        </w:r>
      </w:hyperlink>
      <w:r w:rsidDel="00000000" w:rsidR="00000000" w:rsidRPr="00000000">
        <w:rPr>
          <w:rFonts w:ascii="Times New Roman" w:cs="Times New Roman" w:eastAsia="Times New Roman" w:hAnsi="Times New Roman"/>
          <w:rtl w:val="0"/>
        </w:rPr>
        <w:t xml:space="preserve">”; also p. 76 “</w:t>
      </w:r>
      <w:hyperlink r:id="rId7">
        <w:r w:rsidDel="00000000" w:rsidR="00000000" w:rsidRPr="00000000">
          <w:rPr>
            <w:rFonts w:ascii="Times New Roman" w:cs="Times New Roman" w:eastAsia="Times New Roman" w:hAnsi="Times New Roman"/>
            <w:color w:val="1155cc"/>
            <w:u w:val="single"/>
            <w:rtl w:val="0"/>
          </w:rPr>
          <w:t xml:space="preserve">www.freecollegenm.org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 75 line spacing issue on lines 18-19</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years from in-text cites: p. 72 “University of Colorado, Boulder website 2022”; p. 87 “Hedden 2022”</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ampersand if not quoted: p. 85 “Harney &amp; Moten 112”</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Accessed dates: p. 90 UN Climate Action “Accessed 2022”; p. 91 Longmont Observer “Accessed 2021”</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Byrd et al. with names; p. 90 has “Byrd, Jodi, et. al”</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rework p. 90 Goeman entry from APA to MLA: “Goeman, M. (2008)...”</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repair p. 90 Hedden ExxonMobil entry; title/newspaper formatting looks damaged</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p. 91 Martinez year: “202martine0”</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 91 McKittrick entry; publisher/year formatting is incomplete</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 91 Metzger entry; it starts with “The Denver Gazette” plus URL</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p. 92 Native Womens Wilderness entry; remove “Retrieved from” on p. 92</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p. 92 Tuck/Yang entry: “(eds)” and “(2018)” need MLA style</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split/clean pp. 92-93 UIHI/Bachman entry; two sources seem combined</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 93 Woertz entry; publisher/year missing</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p. 93 Zeemont dissertation entry for JBW dissertation style</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val="1"/>
          <w:highlight w:val="yellow"/>
          <w:rtl w:val="0"/>
        </w:rPr>
        <w:t xml:space="preserve">The “LAND” section currently runs from pp. 70-79, whereas all the other sections are half that length. The author might consider adding a subtitle that highlights the article’s central concept – “OIL/SCHOOL” – at the bottom of p. 76, just above the paragraph that begins, “The link between the success of free public higher education in New Mexico and the success of the oil and gas industry is a narrative that has taken on legislative legitimacy…” </w:t>
      </w:r>
    </w:p>
    <w:p w:rsidR="00000000" w:rsidDel="00000000" w:rsidP="00000000" w:rsidRDefault="00000000" w:rsidRPr="00000000" w14:paraId="0000001A">
      <w:pPr>
        <w:numPr>
          <w:ilvl w:val="3"/>
          <w:numId w:val="1"/>
        </w:numPr>
        <w:ind w:left="2880" w:hanging="360"/>
      </w:pPr>
      <w:r w:rsidDel="00000000" w:rsidR="00000000" w:rsidRPr="00000000">
        <w:rPr>
          <w:rtl w:val="0"/>
        </w:rPr>
        <w:t xml:space="preserve">YES, you can implement the above subheading (simply, “OIL/SCHOOL,” as suggested, would make sense)</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E">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21">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22">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23">
      <w:pPr>
        <w:ind w:left="0" w:firstLine="0"/>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vernor.state.nm.us/" TargetMode="External"/><Relationship Id="rId7" Type="http://schemas.openxmlformats.org/officeDocument/2006/relationships/hyperlink" Target="http://www.freecollegen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