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color w:val="000000"/>
          <w:shd w:fill="auto" w:val="clear"/>
        </w:rPr>
      </w:pPr>
      <w:r w:rsidDel="00000000" w:rsidR="00000000" w:rsidRPr="00000000">
        <w:rPr>
          <w:b w:val="1"/>
          <w:bCs w:val="1"/>
          <w:rtl w:val="0"/>
        </w:rPr>
        <w:t xml:space="preserve">Editors’ Column, Chy Sprauve,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pPr>
        <w:keepNext w:val="0"/>
      </w:pPr>
      <w:r>
        <w:t>Open: Editors decide whether to add a visible Editors’ Column signature/byline. The frontmatter TOC names the guest editors, but the column itself currently has no visible byline or closing signature; 44.1 and 43.2 comparators close with signatures.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change p. 10 “towards transformative collective change” to toward</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mirror Kynard if needed: p. 3 quotes “towards students like Haven.”</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check Shor DOI on p. 12: “JBWJ.1997.16.1.08” vs. JBW-J format</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list Lorde-entry editor names if possible; p. 11 has “Rudolph P. Byrd et al.”</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coauthor commas: p. 10 “Lawrence, Patricia and William Herman.”</w:t>
      </w:r>
      <w:r w:rsidDel="00000000" w:rsidR="00000000" w:rsidRPr="00000000">
        <w:rPr>
          <w:strike/>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3">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4">
      <w:pPr>
        <w:numPr>
          <w:ilvl w:val="0"/>
          <w:numId w:val="2"/>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5">
      <w:pPr>
        <w:numPr>
          <w:ilvl w:val="0"/>
          <w:numId w:val="1"/>
        </w:numPr>
        <w:spacing w:after="0" w:line="240" w:lineRule="auto"/>
        <w:ind w:left="720" w:hanging="360"/>
        <w:rPr>
          <w:rFonts w:ascii="Times New Roman" w:cs="Times New Roman" w:eastAsia="Times New Roman" w:hAnsi="Times New Roman"/>
          <w:b w:val="1"/>
          <w:bCs w:val="1"/>
          <w:i w:val="1"/>
          <w:iCs w:val="1"/>
          <w:color w:val="000000"/>
          <w:u w:val="none"/>
          <w:shd w:fill="auto" w:val="clea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