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遥感视觉语言与多模态变化检测论文精读笔记</w:t>
      </w:r>
    </w:p>
    <w:p>
      <w:pPr>
        <w:spacing w:after="320"/>
        <w:jc w:val="center"/>
      </w:pPr>
      <w:r>
        <w:rPr>
          <w:rFonts w:ascii="Times New Roman" w:hAnsi="Times New Roman" w:eastAsia="宋体"/>
          <w:color w:val="595959"/>
          <w:sz w:val="20"/>
        </w:rPr>
        <w:t>Evidence linked paper reading template</w:t>
      </w:r>
    </w:p>
    <w:p>
      <w:pPr>
        <w:spacing w:after="240"/>
      </w:pPr>
      <w:r>
        <w:rPr>
          <w:rFonts w:ascii="Times New Roman" w:hAnsi="Times New Roman" w:eastAsia="宋体"/>
          <w:sz w:val="22"/>
        </w:rPr>
        <w:t>本模板用于把单篇论文的作者主张、页码证据和个人推断分开记录，并将可复现信息、创新假设与模块判断沉淀到研究台账。所有关键判断都应回链到 PDF 页码；不能确认的内容请明确标记为待核验。</w:t>
      </w:r>
    </w:p>
    <w:p>
      <w:pPr>
        <w:pStyle w:val="Heading1"/>
        <w:keepNext/>
      </w:pPr>
      <w:r>
        <w:t>论文身份信息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论文编号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P___</w:t>
            </w:r>
          </w:p>
        </w:tc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阅读日期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____-__-__</w:t>
            </w:r>
          </w:p>
        </w:tc>
      </w:tr>
      <w:tr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标题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年份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作者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会议或期刊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DOI或链接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代码链接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PDF文件名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版本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预印本／正式版／补充材料</w:t>
            </w:r>
          </w:p>
        </w:tc>
      </w:tr>
      <w:tr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任务标签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531"/>
            <w:shd w:fill="EAF2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阅读模式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速览／精读／复现／创新／对比</w:t>
            </w:r>
          </w:p>
        </w:tc>
      </w:tr>
    </w:tbl>
    <w:p>
      <w:pPr>
        <w:pStyle w:val="Heading1"/>
        <w:keepNext/>
      </w:pPr>
      <w:r>
        <w:t>一句话问题与核心结论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研究问题：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核心结论：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一句话方法：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对我的研究是否重要及原因：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阅读前置知识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填写原则：</w:t>
      </w:r>
      <w:r>
        <w:rPr>
          <w:rFonts w:ascii="Times New Roman" w:hAnsi="Times New Roman" w:eastAsia="宋体"/>
          <w:color w:val="595959"/>
          <w:sz w:val="22"/>
        </w:rPr>
        <w:t>只记录理解本文确实需要的概念。每个概念用自己的话解释，并补一个最小例子或张量形状。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81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概念或术语</w:t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自己的解释</w:t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最小例子或形状</w:t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仍不清楚的问题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83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>
      <w:pPr>
        <w:pStyle w:val="Heading1"/>
        <w:keepNext/>
      </w:pPr>
      <w:r>
        <w:t>方法流程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先画再写：</w:t>
      </w:r>
      <w:r>
        <w:rPr>
          <w:rFonts w:ascii="Times New Roman" w:hAnsi="Times New Roman" w:eastAsia="宋体"/>
          <w:color w:val="595959"/>
          <w:sz w:val="22"/>
        </w:rPr>
        <w:t>用输入 → 编码器 → 对齐或交互 → 变化推理 → 输出的顺序重建流程，并在每一步标注模态、张量形状与训练信号。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输入与输出：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视觉分支：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文本或语言分支：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跨模态对齐与融合：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时相交互与变化推理：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损失函数与训练策略：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推理阶段与复杂度：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关键图表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证据要求：</w:t>
      </w:r>
      <w:r>
        <w:rPr>
          <w:rFonts w:ascii="Times New Roman" w:hAnsi="Times New Roman" w:eastAsia="宋体"/>
          <w:color w:val="595959"/>
          <w:sz w:val="22"/>
        </w:rPr>
        <w:t>记录 PDF 页码和原图表编号。先复述图表实际显示的内容，再写它支持或不能支持的结论。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PDF页码</w:t>
            </w:r>
          </w:p>
        </w:tc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图表编号</w:t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读图问题</w:t>
            </w:r>
          </w:p>
        </w:tc>
        <w:tc>
          <w:tcPr>
            <w:tcW w:type="dxa" w:w="255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观察到的证据</w:t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我的解释或疑问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55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55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55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55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>
      <w:pPr>
        <w:pStyle w:val="Heading1"/>
        <w:keepNext/>
      </w:pPr>
      <w:r>
        <w:t>关键公式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解释顺序：</w:t>
      </w:r>
      <w:r>
        <w:rPr>
          <w:rFonts w:ascii="Times New Roman" w:hAnsi="Times New Roman" w:eastAsia="宋体"/>
          <w:color w:val="595959"/>
          <w:sz w:val="22"/>
        </w:rPr>
        <w:t>先说明公式解决什么问题，再逐个解释符号、形状、运算和梯度来源，最后写一个小例子与实现注意点。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公式与页码</w:t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符号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张量形状</w:t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运算与动机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实现注意点</w:t>
            </w:r>
          </w:p>
        </w:tc>
      </w:tr>
      <w:tr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实验与证据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判断目标：</w:t>
      </w:r>
      <w:r>
        <w:rPr>
          <w:rFonts w:ascii="Times New Roman" w:hAnsi="Times New Roman" w:eastAsia="宋体"/>
          <w:color w:val="595959"/>
          <w:sz w:val="22"/>
        </w:rPr>
        <w:t>区分主结果、消融、效率、泛化和失败案例。只在论文给出足够条件时比较数字。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实验目的</w:t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数据集与划分</w:t>
            </w:r>
          </w:p>
        </w:tc>
        <w:tc>
          <w:tcPr>
            <w:tcW w:type="dxa" w:w="107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对比方法</w:t>
            </w:r>
          </w:p>
        </w:tc>
        <w:tc>
          <w:tcPr>
            <w:tcW w:type="dxa" w:w="119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PDF页码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证据强度与备注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7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7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7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7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7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7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02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>
      <w:pPr>
        <w:spacing w:after="100"/>
      </w:pPr>
      <w:r>
        <w:rPr>
          <w:rFonts w:ascii="Times New Roman" w:hAnsi="Times New Roman" w:eastAsia="宋体"/>
          <w:b/>
          <w:sz w:val="22"/>
        </w:rPr>
        <w:t>复现所需硬件与预计成本：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代码和训练细节缺口：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我最先复现的最小实验：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pStyle w:val="Heading1"/>
        <w:keepNext/>
      </w:pPr>
      <w:r>
        <w:t>主张、证据与推断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作者主张</w:t>
            </w:r>
          </w:p>
        </w:tc>
        <w:tc>
          <w:tcPr>
            <w:tcW w:type="dxa" w:w="232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论文证据</w:t>
            </w:r>
          </w:p>
        </w:tc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PDF页码</w:t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我的推断</w:t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置信度与反证条件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局限与失败条件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优先找边界：</w:t>
      </w:r>
      <w:r>
        <w:rPr>
          <w:rFonts w:ascii="Times New Roman" w:hAnsi="Times New Roman" w:eastAsia="宋体"/>
          <w:color w:val="595959"/>
          <w:sz w:val="22"/>
        </w:rPr>
        <w:t>分别记录作者承认的局限、由实验可推断的边界，以及论文未覆盖但会影响遥感落地的条件。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作者明确承认的局限及页码：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实验暴露的失败模式：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数据偏差、域移或标注风险：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文本提示、类别词表或语言先验风险：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在公开数据和 A800 80GB 条件下的可行性：</w:t>
      </w:r>
      <w:r>
        <w:rPr>
          <w:rFonts w:ascii="Times New Roman" w:hAnsi="Times New Roman" w:eastAsia="宋体"/>
          <w:color w:val="595959"/>
          <w:sz w:val="22"/>
        </w:rPr>
        <w:t>________________________________________________________________</w:t>
      </w:r>
    </w:p>
    <w:p>
      <w:pPr>
        <w:pStyle w:val="Heading1"/>
        <w:keepNext/>
      </w:pPr>
      <w:r>
        <w:t>对研究台账的影响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更新而非删除：</w:t>
      </w:r>
      <w:r>
        <w:rPr>
          <w:rFonts w:ascii="Times New Roman" w:hAnsi="Times New Roman" w:eastAsia="宋体"/>
          <w:color w:val="595959"/>
          <w:sz w:val="22"/>
        </w:rPr>
        <w:t>将本论文与现有创新假设、模块方法和待读问题逐条比对。若被覆盖、被否定或被替代，修改状态并保留依据。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台账类型</w:t>
            </w: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现有条目ID</w:t>
            </w: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新状态或动作</w:t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依据与PDF页码</w:t>
            </w:r>
          </w:p>
        </w:tc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下一步验证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创新假设／模块方法／待读问题</w:t>
            </w: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重复</w:t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创新假设／模块方法／待读问题</w:t>
            </w: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部分重合</w:t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创新假设／模块方法／待读问题</w:t>
            </w: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被覆盖</w:t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创新假设／模块方法／待读问题</w:t>
            </w: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矛盾</w:t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创新假设／模块方法／待读问题</w:t>
            </w: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24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替代／采纳</w:t>
            </w:r>
          </w:p>
        </w:tc>
        <w:tc>
          <w:tcPr>
            <w:tcW w:type="dxa" w:w="1757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53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</w:p>
        </w:tc>
      </w:tr>
    </w:tbl>
    <w:p>
      <w:pPr>
        <w:pStyle w:val="Heading1"/>
        <w:keepNext/>
      </w:pPr>
      <w:r>
        <w:t>主动回忆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闭卷完成：</w:t>
      </w:r>
      <w:r>
        <w:rPr>
          <w:rFonts w:ascii="Times New Roman" w:hAnsi="Times New Roman" w:eastAsia="宋体"/>
          <w:color w:val="595959"/>
          <w:sz w:val="22"/>
        </w:rPr>
        <w:t>精读结束后关闭论文，用自己的话作答；答不出的内容回到对应 PDF 页重新核验。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1  这篇论文解决的具体问题是什么，为什么现有方法不够？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2  方法中最不可替代的三个步骤是什么？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3  视觉、文本和双时相信息在哪里交互？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4  哪个实验最能支持核心贡献，哪个结论证据不足？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5  如果移除关键模块，预计什么指标或现象会变化？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6  在不同传感器、地区、季节或文本提示下可能怎样失败？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7  复现这篇论文的最小闭环是什么？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spacing w:after="140"/>
      </w:pPr>
      <w:r>
        <w:rPr>
          <w:rFonts w:ascii="Times New Roman" w:hAnsi="Times New Roman" w:eastAsia="宋体"/>
          <w:b/>
          <w:sz w:val="22"/>
        </w:rPr>
        <w:t>8  它改变了我的哪条创新假设或模块判断？</w:t>
      </w:r>
      <w:r>
        <w:rPr>
          <w:rFonts w:ascii="Times New Roman" w:hAnsi="Times New Roman" w:eastAsia="宋体"/>
          <w:color w:val="595959"/>
          <w:sz w:val="22"/>
        </w:rPr>
        <w:br/>
        <w:t>答：___________________________________________________________________</w:t>
      </w:r>
    </w:p>
    <w:p>
      <w:pPr>
        <w:pStyle w:val="Heading1"/>
        <w:keepNext/>
      </w:pPr>
      <w:r>
        <w:t>PDF页码索引</w:t>
      </w:r>
    </w:p>
    <w:p>
      <w:pPr>
        <w:spacing w:after="100"/>
      </w:pPr>
      <w:r>
        <w:rPr>
          <w:rFonts w:ascii="Times New Roman" w:hAnsi="Times New Roman" w:eastAsia="宋体"/>
          <w:b/>
          <w:sz w:val="22"/>
        </w:rPr>
        <w:t>建立回链：</w:t>
      </w:r>
      <w:r>
        <w:rPr>
          <w:rFonts w:ascii="Times New Roman" w:hAnsi="Times New Roman" w:eastAsia="宋体"/>
          <w:color w:val="595959"/>
          <w:sz w:val="22"/>
        </w:rPr>
        <w:t>把笔记中的关键判断映射到 PDF 页码，便于复核、写作引用和跨论文比较。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PDF页码</w:t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内容位置</w:t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关键词</w:t>
            </w:r>
          </w:p>
        </w:tc>
        <w:tc>
          <w:tcPr>
            <w:tcW w:type="dxa" w:w="351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用于支持的判断或台账条目</w:t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遥感视觉语言论文精读笔记  · 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遥感视觉语言与多模态变化检测论文精读笔记</dc:title>
  <dc:subject>公开发布的空白论文精读模板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