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Бешкуров</w:t>
      </w:r>
      <w:r>
        <w:t xml:space="preserve"> </w:t>
      </w:r>
      <w:r>
        <w:t xml:space="preserve">Михаил</w:t>
      </w:r>
      <w:r>
        <w:t xml:space="preserve"> </w:t>
      </w:r>
      <w:r>
        <w:t xml:space="preserve">Борисович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Создать учетные записи guest и guest2.</w:t>
      </w:r>
    </w:p>
    <w:p>
      <w:pPr>
        <w:numPr>
          <w:ilvl w:val="0"/>
          <w:numId w:val="1001"/>
        </w:numPr>
        <w:pStyle w:val="Compact"/>
      </w:pPr>
      <w:r>
        <w:t xml:space="preserve">Войти от имени двух пользователей в две разные консоли и выполнить ряд команд.</w:t>
      </w:r>
    </w:p>
    <w:p>
      <w:pPr>
        <w:numPr>
          <w:ilvl w:val="0"/>
          <w:numId w:val="1001"/>
        </w:numPr>
        <w:pStyle w:val="Compact"/>
      </w:pPr>
      <w:r>
        <w:t xml:space="preserve">Заполнить таблицу</w:t>
      </w:r>
      <w:r>
        <w:t xml:space="preserve"> </w:t>
      </w:r>
      <w:r>
        <w:t xml:space="preserve">“</w:t>
      </w:r>
      <w:r>
        <w:t xml:space="preserve">Установленные права и разрешенные действия для групп</w:t>
      </w:r>
      <w:r>
        <w:t xml:space="preserve">”</w:t>
      </w:r>
    </w:p>
    <w:p>
      <w:pPr>
        <w:numPr>
          <w:ilvl w:val="0"/>
          <w:numId w:val="1001"/>
        </w:numPr>
        <w:pStyle w:val="Compact"/>
      </w:pPr>
      <w:r>
        <w:t xml:space="preserve">Заполнить таблицу</w:t>
      </w:r>
      <w:r>
        <w:t xml:space="preserve"> </w:t>
      </w:r>
      <w:r>
        <w:t xml:space="preserve">“</w:t>
      </w:r>
      <w:r>
        <w:t xml:space="preserve">Минимальные права для совершения операций от имени пользователей, входящих в группу</w:t>
      </w:r>
      <w:r>
        <w:t xml:space="preserve">”</w:t>
      </w:r>
    </w:p>
    <w:p>
      <w:pPr>
        <w:pStyle w:val="Heading1"/>
      </w:pPr>
      <w:bookmarkStart w:id="22" w:name="выполнение-лабораторной-работы"/>
      <w:r>
        <w:t xml:space="preserve">Выполнение лабораторной работы</w:t>
      </w:r>
      <w:bookmarkEnd w:id="22"/>
    </w:p>
    <w:p>
      <w:pPr>
        <w:numPr>
          <w:ilvl w:val="0"/>
          <w:numId w:val="1002"/>
        </w:numPr>
        <w:pStyle w:val="Compact"/>
      </w:pPr>
      <w:r>
        <w:t xml:space="preserve">В установленной операционной системе создал учётную запись пользователя</w:t>
      </w:r>
      <w:r>
        <w:t xml:space="preserve"> </w:t>
      </w:r>
      <w:r>
        <w:t xml:space="preserve"> </w:t>
      </w:r>
      <w:r>
        <w:t xml:space="preserve">(использовал учётную запись администратора) (рис -</w:t>
      </w:r>
      <w:r>
        <w:t xml:space="preserve"> </w:t>
      </w:r>
      <w:r>
        <w:t xml:space="preserve">@fig:001</w:t>
      </w:r>
      <w:r>
        <w:t xml:space="preserve">). Для этого использовал команду</w:t>
      </w:r>
      <w:r>
        <w:t xml:space="preserve"> </w:t>
      </w:r>
    </w:p>
    <w:p>
      <w:pPr>
        <w:pStyle w:val="FirstParagraph"/>
      </w:pPr>
      <w:r>
        <w:t xml:space="preserve">Задал пароль для пользователя</w:t>
      </w:r>
      <w:r>
        <w:t xml:space="preserve"> </w:t>
      </w:r>
      <w:r>
        <w:t xml:space="preserve"> </w:t>
      </w:r>
      <w:r>
        <w:t xml:space="preserve">(использовал учётную запись администратора) (рис</w:t>
      </w:r>
      <w:r>
        <w:t xml:space="preserve"> </w:t>
      </w:r>
      <w:r>
        <w:t xml:space="preserve">@fig:002</w:t>
      </w:r>
      <w:r>
        <w:t xml:space="preserve">). Для этого использовал команду</w:t>
      </w:r>
      <w:r>
        <w:t xml:space="preserve"> </w:t>
      </w:r>
    </w:p>
    <w:p>
      <w:pPr>
        <w:pStyle w:val="CaptionedFigure"/>
      </w:pPr>
      <w:bookmarkStart w:id="24" w:name="fig:002"/>
      <w:r>
        <w:drawing>
          <wp:inline>
            <wp:extent cx="5334000" cy="4870173"/>
            <wp:effectExtent b="0" l="0" r="0" t="0"/>
            <wp:docPr descr="Создание учетной записи 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70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Создание учетной записи</w:t>
      </w:r>
      <w:r>
        <w:t xml:space="preserve"> </w:t>
      </w:r>
    </w:p>
    <w:p>
      <w:pPr>
        <w:pStyle w:val="BodyText"/>
      </w:pPr>
      <w:r>
        <w:t xml:space="preserve">Аналогично создал второго пользователя</w:t>
      </w:r>
      <w:r>
        <w:t xml:space="preserve"> </w:t>
      </w:r>
      <w:r>
        <w:t xml:space="preserve"> </w:t>
      </w:r>
      <w:r>
        <w:t xml:space="preserve">(рис</w:t>
      </w:r>
      <w:r>
        <w:t xml:space="preserve"> </w:t>
      </w:r>
      <w:r>
        <w:t xml:space="preserve">@fig:003</w:t>
      </w:r>
      <w:r>
        <w:t xml:space="preserve">).</w:t>
      </w:r>
    </w:p>
    <w:p>
      <w:pPr>
        <w:pStyle w:val="CaptionedFigure"/>
      </w:pPr>
      <w:bookmarkStart w:id="26" w:name="fig:003"/>
      <w:r>
        <w:drawing>
          <wp:inline>
            <wp:extent cx="5334000" cy="1470000"/>
            <wp:effectExtent b="0" l="0" r="0" t="0"/>
            <wp:docPr descr="Создание учетной записи 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Создание учетной записи</w:t>
      </w:r>
      <w:r>
        <w:t xml:space="preserve"> </w:t>
      </w:r>
    </w:p>
    <w:p>
      <w:pPr>
        <w:pStyle w:val="BodyText"/>
      </w:pPr>
      <w:r>
        <w:t xml:space="preserve">Добавил пользователя</w:t>
      </w:r>
      <w:r>
        <w:t xml:space="preserve"> </w:t>
      </w:r>
      <w:r>
        <w:t xml:space="preserve"> </w:t>
      </w:r>
      <w:r>
        <w:t xml:space="preserve">в группу</w:t>
      </w:r>
      <w:r>
        <w:t xml:space="preserve"> </w:t>
      </w:r>
      <w:r>
        <w:t xml:space="preserve"> </w:t>
      </w:r>
      <w:r>
        <w:t xml:space="preserve">(рис</w:t>
      </w:r>
      <w:r>
        <w:t xml:space="preserve"> </w:t>
      </w:r>
      <w:r>
        <w:t xml:space="preserve">@fig:004</w:t>
      </w:r>
      <w:r>
        <w:t xml:space="preserve">):</w:t>
      </w:r>
    </w:p>
    <w:p>
      <w:pPr>
        <w:pStyle w:val="CaptionedFigure"/>
      </w:pPr>
      <w:bookmarkStart w:id="28" w:name="fig:004"/>
      <w:r>
        <w:drawing>
          <wp:inline>
            <wp:extent cx="5334000" cy="537600"/>
            <wp:effectExtent b="0" l="0" r="0" t="0"/>
            <wp:docPr descr="Добавление пользователя  в группу " title="" id="1" name="Picture"/>
            <a:graphic>
              <a:graphicData uri="http://schemas.openxmlformats.org/drawingml/2006/picture">
                <pic:pic>
                  <pic:nvPicPr>
                    <pic:cNvPr descr="image/3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Добавление пользователя</w:t>
      </w:r>
      <w:r>
        <w:t xml:space="preserve"> </w:t>
      </w:r>
      <w:r>
        <w:t xml:space="preserve"> </w:t>
      </w:r>
      <w:r>
        <w:t xml:space="preserve">в группу</w:t>
      </w:r>
      <w:r>
        <w:t xml:space="preserve"> </w:t>
      </w:r>
    </w:p>
    <w:p>
      <w:pPr>
        <w:numPr>
          <w:ilvl w:val="0"/>
          <w:numId w:val="1003"/>
        </w:numPr>
        <w:pStyle w:val="Compact"/>
      </w:pPr>
      <w:r>
        <w:t xml:space="preserve">Вошел в систему от двух пользователей на двух разных консолях (рис</w:t>
      </w:r>
      <w:r>
        <w:t xml:space="preserve"> </w:t>
      </w:r>
      <w:r>
        <w:t xml:space="preserve">@fig:005</w:t>
      </w:r>
      <w:r>
        <w:t xml:space="preserve">).</w:t>
      </w:r>
    </w:p>
    <w:p>
      <w:pPr>
        <w:pStyle w:val="CaptionedFigure"/>
      </w:pPr>
      <w:bookmarkStart w:id="30" w:name="fig:005"/>
      <w:r>
        <w:drawing>
          <wp:inline>
            <wp:extent cx="5334000" cy="4615510"/>
            <wp:effectExtent b="0" l="0" r="0" t="0"/>
            <wp:docPr descr="Вход в систему для двух пользователей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15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Вход в систему для двух пользователей</w:t>
      </w:r>
    </w:p>
    <w:p>
      <w:pPr>
        <w:pStyle w:val="BodyText"/>
      </w:pPr>
      <w:r>
        <w:t xml:space="preserve">Для обоих пользователей командой</w:t>
      </w:r>
      <w:r>
        <w:t xml:space="preserve"> </w:t>
      </w:r>
      <w:r>
        <w:t xml:space="preserve"> </w:t>
      </w:r>
      <w:r>
        <w:t xml:space="preserve">определил директории, в которых я нахожусь. Они совпадают с приглашением командной строки (рис</w:t>
      </w:r>
      <w:r>
        <w:t xml:space="preserve"> </w:t>
      </w:r>
      <w:r>
        <w:t xml:space="preserve">@fig:006</w:t>
      </w:r>
      <w:r>
        <w:t xml:space="preserve">).</w:t>
      </w:r>
    </w:p>
    <w:p>
      <w:pPr>
        <w:pStyle w:val="CaptionedFigure"/>
      </w:pPr>
      <w:bookmarkStart w:id="32" w:name="fig:006"/>
      <w:r>
        <w:drawing>
          <wp:inline>
            <wp:extent cx="5334000" cy="4610877"/>
            <wp:effectExtent b="0" l="0" r="0" t="0"/>
            <wp:docPr descr="Определение текущей директории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10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Определение текущей директории</w:t>
      </w:r>
    </w:p>
    <w:p>
      <w:pPr>
        <w:pStyle w:val="BodyText"/>
      </w:pPr>
      <w:r>
        <w:t xml:space="preserve">Уточнил имена своих пользователей командой</w:t>
      </w:r>
      <w:r>
        <w:t xml:space="preserve"> </w:t>
      </w:r>
      <w:r>
        <w:t xml:space="preserve"> </w:t>
      </w:r>
      <w:r>
        <w:t xml:space="preserve">(рис</w:t>
      </w:r>
      <w:r>
        <w:t xml:space="preserve"> </w:t>
      </w:r>
      <w:r>
        <w:t xml:space="preserve">@fig:007</w:t>
      </w:r>
      <w:r>
        <w:t xml:space="preserve">), их группы, кто входит в них и к каким группам принадлежат они сами, а также определил командами</w:t>
      </w:r>
      <w:r>
        <w:t xml:space="preserve"> </w:t>
      </w:r>
      <w:r>
        <w:t xml:space="preserve"> </w:t>
      </w:r>
      <w:r>
        <w:t xml:space="preserve">и</w:t>
      </w:r>
      <w:r>
        <w:t xml:space="preserve"> </w:t>
      </w:r>
      <w:r>
        <w:t xml:space="preserve">, в какие группы входят пользователи</w:t>
      </w:r>
      <w:r>
        <w:t xml:space="preserve"> </w:t>
      </w:r>
      <w:r>
        <w:t xml:space="preserve"> </w:t>
      </w:r>
      <w:r>
        <w:t xml:space="preserve">и</w:t>
      </w:r>
      <w:r>
        <w:t xml:space="preserve"> </w:t>
      </w:r>
      <w:r>
        <w:t xml:space="preserve"> </w:t>
      </w:r>
      <w:r>
        <w:t xml:space="preserve">(рис</w:t>
      </w:r>
      <w:r>
        <w:t xml:space="preserve"> </w:t>
      </w:r>
      <w:r>
        <w:t xml:space="preserve">@fig:008</w:t>
      </w:r>
      <w:r>
        <w:t xml:space="preserve">).</w:t>
      </w:r>
    </w:p>
    <w:p>
      <w:pPr>
        <w:pStyle w:val="CaptionedFigure"/>
      </w:pPr>
      <w:bookmarkStart w:id="34" w:name="fig:007"/>
      <w:r>
        <w:drawing>
          <wp:inline>
            <wp:extent cx="5334000" cy="4569771"/>
            <wp:effectExtent b="0" l="0" r="0" t="0"/>
            <wp:docPr descr="Уточнение имени пользователей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9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Уточнение имени пользователей</w:t>
      </w:r>
    </w:p>
    <w:p>
      <w:pPr>
        <w:pStyle w:val="CaptionedFigure"/>
      </w:pPr>
      <w:bookmarkStart w:id="36" w:name="fig:008"/>
      <w:r>
        <w:drawing>
          <wp:inline>
            <wp:extent cx="5334000" cy="4623320"/>
            <wp:effectExtent b="0" l="0" r="0" t="0"/>
            <wp:docPr descr="Уточнение имени пользователей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23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Уточнение имени пользователей</w:t>
      </w:r>
    </w:p>
    <w:p>
      <w:pPr>
        <w:pStyle w:val="BodyText"/>
      </w:pPr>
      <w:r>
        <w:t xml:space="preserve">Сравнил вывод команды</w:t>
      </w:r>
      <w:r>
        <w:t xml:space="preserve"> </w:t>
      </w:r>
      <w:r>
        <w:t xml:space="preserve"> </w:t>
      </w:r>
      <w:r>
        <w:t xml:space="preserve">с выводом команд</w:t>
      </w:r>
      <w:r>
        <w:t xml:space="preserve"> </w:t>
      </w:r>
      <w:r>
        <w:t xml:space="preserve"> </w:t>
      </w:r>
      <w:r>
        <w:t xml:space="preserve">и</w:t>
      </w:r>
      <w:r>
        <w:t xml:space="preserve"> </w:t>
      </w:r>
      <w:r>
        <w:t xml:space="preserve"> </w:t>
      </w:r>
      <w:r>
        <w:t xml:space="preserve">(рис</w:t>
      </w:r>
      <w:r>
        <w:t xml:space="preserve"> </w:t>
      </w:r>
      <w:r>
        <w:t xml:space="preserve">@fig:009</w:t>
      </w:r>
      <w:r>
        <w:t xml:space="preserve">). Группы совпадают, однако при выводкоманд</w:t>
      </w:r>
      <w:r>
        <w:t xml:space="preserve"> </w:t>
      </w:r>
      <w:r>
        <w:t xml:space="preserve"> </w:t>
      </w:r>
      <w:r>
        <w:t xml:space="preserve">и</w:t>
      </w:r>
      <w:r>
        <w:t xml:space="preserve"> </w:t>
      </w:r>
      <w:r>
        <w:t xml:space="preserve"> </w:t>
      </w:r>
      <w:r>
        <w:t xml:space="preserve">объемнее.</w:t>
      </w:r>
    </w:p>
    <w:p>
      <w:pPr>
        <w:pStyle w:val="CaptionedFigure"/>
      </w:pPr>
      <w:bookmarkStart w:id="38" w:name="fig:009"/>
      <w:r>
        <w:drawing>
          <wp:inline>
            <wp:extent cx="5334000" cy="4585368"/>
            <wp:effectExtent b="0" l="0" r="0" t="0"/>
            <wp:docPr descr="Уточнение имени пользователей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5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Уточнение имени пользователей</w:t>
      </w:r>
    </w:p>
    <w:p>
      <w:pPr>
        <w:pStyle w:val="BodyText"/>
      </w:pPr>
      <w:r>
        <w:t xml:space="preserve">Сравнил полученную информацию с содержимым файла</w:t>
      </w:r>
      <w:r>
        <w:t xml:space="preserve"> </w:t>
      </w:r>
      <w:r>
        <w:t xml:space="preserve">. Просмотрел файл командой</w:t>
      </w:r>
      <w:r>
        <w:t xml:space="preserve"> </w:t>
      </w:r>
      <w:r>
        <w:t xml:space="preserve"> </w:t>
      </w:r>
      <w:r>
        <w:t xml:space="preserve">(рис</w:t>
      </w:r>
      <w:r>
        <w:t xml:space="preserve"> </w:t>
      </w:r>
      <w:r>
        <w:t xml:space="preserve">@fig:010</w:t>
      </w:r>
      <w:r>
        <w:t xml:space="preserve">, рис</w:t>
      </w:r>
      <w:r>
        <w:t xml:space="preserve"> </w:t>
      </w:r>
      <w:r>
        <w:t xml:space="preserve">@fig:011</w:t>
      </w:r>
      <w:r>
        <w:t xml:space="preserve">)</w:t>
      </w:r>
    </w:p>
    <w:p>
      <w:pPr>
        <w:pStyle w:val="CaptionedFigure"/>
      </w:pPr>
      <w:bookmarkStart w:id="40" w:name="fig:010"/>
      <w:r>
        <w:drawing>
          <wp:inline>
            <wp:extent cx="5334000" cy="2021586"/>
            <wp:effectExtent b="0" l="0" r="0" t="0"/>
            <wp:docPr descr="Сравнение полученной информации (часть 1)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1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Сравнение полученной информации (часть 1)</w:t>
      </w:r>
    </w:p>
    <w:p>
      <w:pPr>
        <w:pStyle w:val="CaptionedFigure"/>
      </w:pPr>
      <w:bookmarkStart w:id="42" w:name="fig:011"/>
      <w:r>
        <w:drawing>
          <wp:inline>
            <wp:extent cx="5334000" cy="1545857"/>
            <wp:effectExtent b="0" l="0" r="0" t="0"/>
            <wp:docPr descr="Сравнение полученной информации (часть 2)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5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Сравнение полученной информации (часть 2)</w:t>
      </w:r>
    </w:p>
    <w:p>
      <w:pPr>
        <w:pStyle w:val="BodyText"/>
      </w:pPr>
      <w:r>
        <w:t xml:space="preserve">Как видно из рисунка, информация об имени пользователя совпадает с полученной ранее информацией.</w:t>
      </w:r>
    </w:p>
    <w:p>
      <w:pPr>
        <w:pStyle w:val="BodyText"/>
      </w:pPr>
      <w:r>
        <w:t xml:space="preserve">От имени пользователя</w:t>
      </w:r>
      <w:r>
        <w:t xml:space="preserve"> </w:t>
      </w:r>
      <w:r>
        <w:t xml:space="preserve"> </w:t>
      </w:r>
      <w:r>
        <w:t xml:space="preserve">выполнил регистрацию пользователя</w:t>
      </w:r>
      <w:r>
        <w:t xml:space="preserve"> </w:t>
      </w:r>
      <w:r>
        <w:t xml:space="preserve"> </w:t>
      </w:r>
      <w:r>
        <w:t xml:space="preserve">в группе</w:t>
      </w:r>
      <w:r>
        <w:t xml:space="preserve"> </w:t>
      </w:r>
      <w:r>
        <w:t xml:space="preserve"> </w:t>
      </w:r>
      <w:r>
        <w:t xml:space="preserve">командой</w:t>
      </w:r>
      <w:r>
        <w:t xml:space="preserve"> </w:t>
      </w:r>
      <w:r>
        <w:t xml:space="preserve"> </w:t>
      </w:r>
      <w:r>
        <w:t xml:space="preserve">(рис</w:t>
      </w:r>
      <w:r>
        <w:t xml:space="preserve"> </w:t>
      </w:r>
      <w:r>
        <w:t xml:space="preserve">@fig:012</w:t>
      </w:r>
      <w:r>
        <w:t xml:space="preserve">)</w:t>
      </w:r>
    </w:p>
    <w:p>
      <w:pPr>
        <w:pStyle w:val="CaptionedFigure"/>
      </w:pPr>
      <w:bookmarkStart w:id="44" w:name="fig:012"/>
      <w:r>
        <w:drawing>
          <wp:inline>
            <wp:extent cx="5334000" cy="2354370"/>
            <wp:effectExtent b="0" l="0" r="0" t="0"/>
            <wp:docPr descr="Регистрация пользователя  в группе 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4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Регистрация пользователя</w:t>
      </w:r>
      <w:r>
        <w:t xml:space="preserve"> </w:t>
      </w:r>
      <w:r>
        <w:t xml:space="preserve"> </w:t>
      </w:r>
      <w:r>
        <w:t xml:space="preserve">в группе</w:t>
      </w:r>
      <w:r>
        <w:t xml:space="preserve"> </w:t>
      </w:r>
    </w:p>
    <w:p>
      <w:pPr>
        <w:pStyle w:val="BodyText"/>
      </w:pPr>
      <w:r>
        <w:t xml:space="preserve">От имени пользователя</w:t>
      </w:r>
      <w:r>
        <w:t xml:space="preserve"> </w:t>
      </w:r>
      <w:r>
        <w:t xml:space="preserve"> </w:t>
      </w:r>
      <w:r>
        <w:t xml:space="preserve">изменил права директории</w:t>
      </w:r>
      <w:r>
        <w:t xml:space="preserve"> </w:t>
      </w:r>
      <w:r>
        <w:t xml:space="preserve">, разрешив все действия для пользователей группы, командой</w:t>
      </w:r>
      <w:r>
        <w:t xml:space="preserve"> </w:t>
      </w:r>
      <w:r>
        <w:t xml:space="preserve"> </w:t>
      </w:r>
      <w:r>
        <w:t xml:space="preserve">(рис</w:t>
      </w:r>
      <w:r>
        <w:t xml:space="preserve"> </w:t>
      </w:r>
      <w:r>
        <w:t xml:space="preserve">@fig:013</w:t>
      </w:r>
      <w:r>
        <w:t xml:space="preserve">)</w:t>
      </w:r>
    </w:p>
    <w:p>
      <w:pPr>
        <w:pStyle w:val="CaptionedFigure"/>
      </w:pPr>
      <w:bookmarkStart w:id="46" w:name="fig:013"/>
      <w:r>
        <w:drawing>
          <wp:inline>
            <wp:extent cx="5334000" cy="2160114"/>
            <wp:effectExtent b="0" l="0" r="0" t="0"/>
            <wp:docPr descr="Изменение прав директории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0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Изменение прав директории</w:t>
      </w:r>
    </w:p>
    <w:p>
      <w:pPr>
        <w:pStyle w:val="BodyText"/>
      </w:pPr>
      <w:r>
        <w:t xml:space="preserve">От имени пользователя</w:t>
      </w:r>
      <w:r>
        <w:t xml:space="preserve"> </w:t>
      </w:r>
      <w:r>
        <w:t xml:space="preserve"> </w:t>
      </w:r>
      <w:r>
        <w:t xml:space="preserve">снял с директории</w:t>
      </w:r>
      <w:r>
        <w:t xml:space="preserve"> </w:t>
      </w:r>
      <w:r>
        <w:t xml:space="preserve"> </w:t>
      </w:r>
      <w:r>
        <w:t xml:space="preserve">все атрибуты командой</w:t>
      </w:r>
      <w:r>
        <w:t xml:space="preserve"> </w:t>
      </w:r>
      <w:r>
        <w:t xml:space="preserve">. Проверил это действие с помощью команды</w:t>
      </w:r>
      <w:r>
        <w:t xml:space="preserve"> </w:t>
      </w:r>
      <w:r>
        <w:t xml:space="preserve"> </w:t>
      </w:r>
      <w:r>
        <w:t xml:space="preserve">(рис</w:t>
      </w:r>
      <w:r>
        <w:t xml:space="preserve"> </w:t>
      </w:r>
      <w:r>
        <w:t xml:space="preserve">@fig:014</w:t>
      </w:r>
      <w:r>
        <w:t xml:space="preserve">)</w:t>
      </w:r>
    </w:p>
    <w:p>
      <w:pPr>
        <w:pStyle w:val="CaptionedFigure"/>
      </w:pPr>
      <w:bookmarkStart w:id="48" w:name="fig:014"/>
      <w:r>
        <w:drawing>
          <wp:inline>
            <wp:extent cx="5334000" cy="2312697"/>
            <wp:effectExtent b="0" l="0" r="0" t="0"/>
            <wp:docPr descr="Снятие всех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2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Снятие всех атрибутов с директории</w:t>
      </w:r>
    </w:p>
    <w:p>
      <w:pPr>
        <w:numPr>
          <w:ilvl w:val="0"/>
          <w:numId w:val="1004"/>
        </w:numPr>
        <w:pStyle w:val="Compact"/>
      </w:pPr>
      <w:r>
        <w:t xml:space="preserve">Заполнил таблицу</w:t>
      </w:r>
      <w:r>
        <w:t xml:space="preserve"> </w:t>
      </w:r>
      <w:r>
        <w:t xml:space="preserve">“</w:t>
      </w:r>
      <w:r>
        <w:t xml:space="preserve">Установленные права и разрешенные действия для групп</w:t>
      </w:r>
      <w:r>
        <w:t xml:space="preserve">”</w:t>
      </w:r>
      <w:r>
        <w:t xml:space="preserve">, меняя атрибуты у директории</w:t>
      </w:r>
      <w:r>
        <w:t xml:space="preserve"> </w:t>
      </w:r>
      <w:r>
        <w:t xml:space="preserve"> </w:t>
      </w:r>
      <w:r>
        <w:t xml:space="preserve">и файла</w:t>
      </w:r>
      <w:r>
        <w:t xml:space="preserve"> </w:t>
      </w:r>
      <w:r>
        <w:t xml:space="preserve"> </w:t>
      </w:r>
      <w:r>
        <w:t xml:space="preserve">от имени пользователя</w:t>
      </w:r>
      <w:r>
        <w:t xml:space="preserve"> </w:t>
      </w:r>
      <w:r>
        <w:t xml:space="preserve">, делая проверку от пользователя</w:t>
      </w:r>
      <w:r>
        <w:t xml:space="preserve"> </w:t>
      </w:r>
      <w:r>
        <w:t xml:space="preserve"> </w:t>
      </w:r>
      <w:r>
        <w:t xml:space="preserve">и определяя опытным путем, какие операции разрешены, а какие нет.</w:t>
      </w:r>
      <w:r>
        <w:t xml:space="preserve"> </w:t>
      </w:r>
      <w:r>
        <w:t xml:space="preserve">“</w:t>
      </w:r>
      <w:r>
        <w:t xml:space="preserve">+</w:t>
      </w:r>
      <w:r>
        <w:t xml:space="preserve">”</w:t>
      </w:r>
      <w:r>
        <w:t xml:space="preserve"> </w:t>
      </w:r>
      <w:r>
        <w:t xml:space="preserve">- операция разрешена,</w:t>
      </w:r>
      <w:r>
        <w:t xml:space="preserve"> </w:t>
      </w:r>
      <w:r>
        <w:t xml:space="preserve">“</w:t>
      </w:r>
      <w:r>
        <w:t xml:space="preserve">-</w:t>
      </w:r>
      <w:r>
        <w:t xml:space="preserve">”</w:t>
      </w:r>
      <w:r>
        <w:t xml:space="preserve"> </w:t>
      </w:r>
      <w:r>
        <w:t xml:space="preserve">- операция не разрешена (таб. 3.1)</w:t>
      </w:r>
    </w:p>
    <w:p>
      <w:pPr>
        <w:pStyle w:val="TableCaption"/>
      </w:pPr>
      <w:r>
        <w:t xml:space="preserve">Установленные права и разрешенные действия для групп</w:t>
      </w:r>
    </w:p>
    <w:tbl>
      <w:tblPr>
        <w:tblStyle w:val="Table"/>
        <w:tblW w:type="pct" w:w="5000.0"/>
        <w:tblLook w:firstRow="1" w:lastRow="0" w:firstColumn="0" w:lastColumn="0" w:noHBand="0" w:noVBand="0"/>
        <w:tblCaption w:val="Установленные права и разрешенные действия для групп"/>
      </w:tblPr>
      <w:tblGrid>
        <w:gridCol w:w="768"/>
        <w:gridCol w:w="528"/>
        <w:gridCol w:w="672"/>
        <w:gridCol w:w="672"/>
        <w:gridCol w:w="624"/>
        <w:gridCol w:w="576"/>
        <w:gridCol w:w="768"/>
        <w:gridCol w:w="1344"/>
        <w:gridCol w:w="960"/>
        <w:gridCol w:w="100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d(010)</w:t>
            </w:r>
          </w:p>
        </w:tc>
        <w:tc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d(010)</w:t>
            </w:r>
          </w:p>
        </w:tc>
        <w:tc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d(010)</w:t>
            </w:r>
          </w:p>
        </w:tc>
        <w:tc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d(010)</w:t>
            </w:r>
          </w:p>
        </w:tc>
        <w:tc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d(010)</w:t>
            </w:r>
          </w:p>
        </w:tc>
        <w:tc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d(010)</w:t>
            </w:r>
          </w:p>
        </w:tc>
        <w:tc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d(010)</w:t>
            </w:r>
          </w:p>
        </w:tc>
        <w:tc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d(020)</w:t>
            </w:r>
          </w:p>
        </w:tc>
        <w:tc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d(020)</w:t>
            </w:r>
          </w:p>
        </w:tc>
        <w:tc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d(020)</w:t>
            </w:r>
          </w:p>
        </w:tc>
        <w:tc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d(020)</w:t>
            </w:r>
          </w:p>
        </w:tc>
        <w:tc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d(020)</w:t>
            </w:r>
          </w:p>
        </w:tc>
        <w:tc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d(020)</w:t>
            </w:r>
          </w:p>
        </w:tc>
        <w:tc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d(020)</w:t>
            </w:r>
          </w:p>
        </w:tc>
        <w:tc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d(020)</w:t>
            </w:r>
          </w:p>
        </w:tc>
        <w:tc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d(040)</w:t>
            </w:r>
          </w:p>
        </w:tc>
        <w:tc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d(040)</w:t>
            </w:r>
          </w:p>
        </w:tc>
        <w:tc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d(040)</w:t>
            </w:r>
          </w:p>
        </w:tc>
        <w:tc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d(040)</w:t>
            </w:r>
          </w:p>
        </w:tc>
        <w:tc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d(040)</w:t>
            </w:r>
          </w:p>
        </w:tc>
        <w:tc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d(040)</w:t>
            </w:r>
          </w:p>
        </w:tc>
        <w:tc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d(040)</w:t>
            </w:r>
          </w:p>
        </w:tc>
        <w:tc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d(040)</w:t>
            </w:r>
          </w:p>
        </w:tc>
        <w:tc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d(050)</w:t>
            </w:r>
          </w:p>
        </w:tc>
        <w:tc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d(050)</w:t>
            </w:r>
          </w:p>
        </w:tc>
        <w:tc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d(050)</w:t>
            </w:r>
          </w:p>
        </w:tc>
        <w:tc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d(050)</w:t>
            </w:r>
          </w:p>
        </w:tc>
        <w:tc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d(050)</w:t>
            </w:r>
          </w:p>
        </w:tc>
        <w:tc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d(050)</w:t>
            </w:r>
          </w:p>
        </w:tc>
        <w:tc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d(050)</w:t>
            </w:r>
          </w:p>
        </w:tc>
        <w:tc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d(050)</w:t>
            </w:r>
          </w:p>
        </w:tc>
        <w:tc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d(060)</w:t>
            </w:r>
          </w:p>
        </w:tc>
        <w:tc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d(060)</w:t>
            </w:r>
          </w:p>
        </w:tc>
        <w:tc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d(060)</w:t>
            </w:r>
          </w:p>
        </w:tc>
        <w:tc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d(060)</w:t>
            </w:r>
          </w:p>
        </w:tc>
        <w:tc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d(060)</w:t>
            </w:r>
          </w:p>
        </w:tc>
        <w:tc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d(060)</w:t>
            </w:r>
          </w:p>
        </w:tc>
        <w:tc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d(060)</w:t>
            </w:r>
          </w:p>
        </w:tc>
        <w:tc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d(060)</w:t>
            </w:r>
          </w:p>
        </w:tc>
        <w:tc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d(070)</w:t>
            </w:r>
          </w:p>
        </w:tc>
        <w:tc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d(070)</w:t>
            </w:r>
          </w:p>
        </w:tc>
        <w:tc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d(070)</w:t>
            </w:r>
          </w:p>
        </w:tc>
        <w:tc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d(070)</w:t>
            </w:r>
          </w:p>
        </w:tc>
        <w:tc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d(070)</w:t>
            </w:r>
          </w:p>
        </w:tc>
        <w:tc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d(070)</w:t>
            </w:r>
          </w:p>
        </w:tc>
        <w:tc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d(070)</w:t>
            </w:r>
          </w:p>
        </w:tc>
        <w:tc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d(070)</w:t>
            </w:r>
          </w:p>
        </w:tc>
        <w:tc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p>
      <w:pPr>
        <w:numPr>
          <w:ilvl w:val="0"/>
          <w:numId w:val="1005"/>
        </w:numPr>
        <w:pStyle w:val="Compact"/>
      </w:pPr>
      <w:r>
        <w:t xml:space="preserve">На основании заполненной выше таблицы определил те или иные минимально необходимые права для выполнения операций внутри директории</w:t>
      </w:r>
      <w:r>
        <w:t xml:space="preserve"> </w:t>
      </w:r>
      <w:r>
        <w:t xml:space="preserve">, заполняя таблицу</w:t>
      </w:r>
      <w:r>
        <w:t xml:space="preserve"> </w:t>
      </w:r>
      <w:r>
        <w:t xml:space="preserve">“</w:t>
      </w:r>
      <w:r>
        <w:t xml:space="preserve">Минимальные права для совершения операций от имени пользователей, входящих в группу</w:t>
      </w:r>
      <w:r>
        <w:t xml:space="preserve">”</w:t>
      </w:r>
      <w:r>
        <w:t xml:space="preserve"> </w:t>
      </w:r>
      <w:r>
        <w:t xml:space="preserve">(таб. 3.2).</w:t>
      </w:r>
    </w:p>
    <w:p>
      <w:pPr>
        <w:pStyle w:val="TableCaption"/>
      </w:pPr>
      <w:r>
        <w:t xml:space="preserve">Минимальные права для совершения операций от имени пользователей, входящих в группу</w:t>
      </w:r>
    </w:p>
    <w:tbl>
      <w:tblPr>
        <w:tblStyle w:val="Table"/>
        <w:tblW w:type="pct" w:w="0.0"/>
        <w:tblLook w:firstRow="1" w:lastRow="0" w:firstColumn="0" w:lastColumn="0" w:noHBand="0" w:noVBand="0"/>
        <w:tblCaption w:val="Минимальные права для совершения операций от имени пользователей, входящих в группу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 права на директорию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 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(- w x)</w:t>
            </w:r>
          </w:p>
        </w:tc>
        <w:tc>
          <w:p>
            <w:pPr>
              <w:pStyle w:val="Compact"/>
              <w:jc w:val="left"/>
            </w:pPr>
            <w:r>
              <w:t xml:space="preserve">(- - -)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(- w x)</w:t>
            </w:r>
          </w:p>
        </w:tc>
        <w:tc>
          <w:p>
            <w:pPr>
              <w:pStyle w:val="Compact"/>
              <w:jc w:val="left"/>
            </w:pPr>
            <w:r>
              <w:t xml:space="preserve">(- - -)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(- - x)</w:t>
            </w:r>
          </w:p>
        </w:tc>
        <w:tc>
          <w:p>
            <w:pPr>
              <w:pStyle w:val="Compact"/>
              <w:jc w:val="left"/>
            </w:pPr>
            <w:r>
              <w:t xml:space="preserve">(r - -)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t xml:space="preserve">(- - x)</w:t>
            </w:r>
          </w:p>
        </w:tc>
        <w:tc>
          <w:p>
            <w:pPr>
              <w:pStyle w:val="Compact"/>
              <w:jc w:val="left"/>
            </w:pPr>
            <w:r>
              <w:t xml:space="preserve">(- w -)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(- w x)</w:t>
            </w:r>
          </w:p>
        </w:tc>
        <w:tc>
          <w:p>
            <w:pPr>
              <w:pStyle w:val="Compact"/>
              <w:jc w:val="left"/>
            </w:pPr>
            <w:r>
              <w:t xml:space="preserve">(- - -)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(- w x)</w:t>
            </w:r>
          </w:p>
        </w:tc>
        <w:tc>
          <w:p>
            <w:pPr>
              <w:pStyle w:val="Compact"/>
              <w:jc w:val="left"/>
            </w:pPr>
            <w:r>
              <w:t xml:space="preserve">(- - -)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(- w x / r-x)</w:t>
            </w:r>
          </w:p>
        </w:tc>
        <w:tc>
          <w:p>
            <w:pPr>
              <w:pStyle w:val="Compact"/>
              <w:jc w:val="left"/>
            </w:pPr>
            <w:r>
              <w:t xml:space="preserve">(- - -)</w:t>
            </w:r>
          </w:p>
        </w:tc>
      </w:tr>
    </w:tbl>
    <w:p>
      <w:pPr>
        <w:pStyle w:val="BodyText"/>
      </w:pPr>
      <w:r>
        <w:t xml:space="preserve">По сравнению с таблицей из предыдущей лабораторной работой, в которой рассматривались права доступа владельца, таблица 3.2 не везде имеет права на запись, чтени и изменение атрибутов файлов. Это объясняется тем, что в данной работе рассматривались права доступа для группы, к которой принадлежат владельцы.</w:t>
      </w:r>
    </w:p>
    <w:p>
      <w:pPr>
        <w:pStyle w:val="Heading1"/>
      </w:pPr>
      <w:bookmarkStart w:id="49" w:name="выводы"/>
      <w:r>
        <w:t xml:space="preserve">Выводы</w:t>
      </w:r>
      <w:bookmarkEnd w:id="49"/>
    </w:p>
    <w:p>
      <w:pPr>
        <w:pStyle w:val="FirstParagraph"/>
      </w:pPr>
      <w:r>
        <w:t xml:space="preserve">Получил практические навыки работы в консоли с атрибутами файлов для групп пользователей.</w:t>
      </w:r>
    </w:p>
    <w:p>
      <w:pPr>
        <w:pStyle w:val="Heading1"/>
      </w:pPr>
      <w:bookmarkStart w:id="50" w:name="список-литературы"/>
      <w:r>
        <w:t xml:space="preserve">Список литературы</w:t>
      </w:r>
      <w:bookmarkEnd w:id="50"/>
    </w:p>
    <w:p>
      <w:pPr>
        <w:numPr>
          <w:ilvl w:val="0"/>
          <w:numId w:val="1006"/>
        </w:numPr>
        <w:pStyle w:val="Compact"/>
      </w:pPr>
      <w:r>
        <w:t xml:space="preserve">Кулябов Д. С., Королькова А. В., Геворкян М. Н. Информационная безопасность компьютерных сетей. Лабораторная работа № 3. Дискреционное разграничение прав</w:t>
      </w:r>
      <w:r>
        <w:t xml:space="preserve"> </w:t>
      </w:r>
      <w:r>
        <w:t xml:space="preserve">в Linux. Два пользователя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3</dc:title>
  <dc:creator>Бешкуров Михаил Борисович</dc:creator>
  <dc:language>ru-RU</dc:language>
  <cp:keywords/>
  <dcterms:created xsi:type="dcterms:W3CDTF">2021-10-16T14:52:22Z</dcterms:created>
  <dcterms:modified xsi:type="dcterms:W3CDTF">2021-10-16T14:52:22Z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mainfont">
    <vt:lpwstr>PT Serif</vt:lpwstr>
  </property>
  <property fmtid="{D5CDD505-2E9C-101B-9397-08002B2CF9AE}" pid="8" name="mainfontoptions">
    <vt:lpwstr>Ligatures=TeX</vt:lpwstr>
  </property>
  <property fmtid="{D5CDD505-2E9C-101B-9397-08002B2CF9AE}" pid="9" name="monofont">
    <vt:lpwstr>PT Mono</vt:lpwstr>
  </property>
  <property fmtid="{D5CDD505-2E9C-101B-9397-08002B2CF9AE}" pid="10" name="monofontoptions">
    <vt:lpwstr>Scale=MatchLowercase</vt:lpwstr>
  </property>
  <property fmtid="{D5CDD505-2E9C-101B-9397-08002B2CF9AE}" pid="11" name="papersize">
    <vt:lpwstr>a4paper</vt:lpwstr>
  </property>
  <property fmtid="{D5CDD505-2E9C-101B-9397-08002B2CF9AE}" pid="12" name="pdf-engine">
    <vt:lpwstr>lualatex</vt:lpwstr>
  </property>
  <property fmtid="{D5CDD505-2E9C-101B-9397-08002B2CF9AE}" pid="13" name="polyglossia-lang">
    <vt:lpwstr>russian</vt:lpwstr>
  </property>
  <property fmtid="{D5CDD505-2E9C-101B-9397-08002B2CF9AE}" pid="14" name="polyglossia-otherlangs">
    <vt:lpwstr>english</vt:lpwstr>
  </property>
  <property fmtid="{D5CDD505-2E9C-101B-9397-08002B2CF9AE}" pid="15" name="romanfont">
    <vt:lpwstr>PT Serif</vt:lpwstr>
  </property>
  <property fmtid="{D5CDD505-2E9C-101B-9397-08002B2CF9AE}" pid="16" name="romanfontoptions">
    <vt:lpwstr>Ligatures=TeX</vt:lpwstr>
  </property>
  <property fmtid="{D5CDD505-2E9C-101B-9397-08002B2CF9AE}" pid="17" name="sansfont">
    <vt:lpwstr>PT Sans</vt:lpwstr>
  </property>
  <property fmtid="{D5CDD505-2E9C-101B-9397-08002B2CF9AE}" pid="18" name="sansfontoptions">
    <vt:lpwstr>Ligatures=TeX,Scale=MatchLowercase</vt:lpwstr>
  </property>
  <property fmtid="{D5CDD505-2E9C-101B-9397-08002B2CF9AE}" pid="19" name="subtitle">
    <vt:lpwstr>Дискреционное разграничение прав в Linux. Два пользователя</vt:lpwstr>
  </property>
  <property fmtid="{D5CDD505-2E9C-101B-9397-08002B2CF9AE}" pid="20" name="toc">
    <vt:lpwstr>True</vt:lpwstr>
  </property>
  <property fmtid="{D5CDD505-2E9C-101B-9397-08002B2CF9AE}" pid="21" name="toc-title">
    <vt:lpwstr>Содержание</vt:lpwstr>
  </property>
  <property fmtid="{D5CDD505-2E9C-101B-9397-08002B2CF9AE}" pid="22" name="toc_depth">
    <vt:lpwstr>2</vt:lpwstr>
  </property>
</Properties>
</file>