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Создать учетные записи guest и guest2.</w:t>
      </w:r>
    </w:p>
    <w:p>
      <w:pPr>
        <w:numPr>
          <w:ilvl w:val="0"/>
          <w:numId w:val="1001"/>
        </w:numPr>
        <w:pStyle w:val="Compact"/>
      </w:pPr>
      <w:r>
        <w:t xml:space="preserve">Войти от имени двух пользователей в две разные консоли и выполнить ряд команд.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создал учётную запись пользователя</w:t>
      </w:r>
      <w:r>
        <w:t xml:space="preserve"> </w:t>
      </w:r>
      <w:r>
        <w:t xml:space="preserve"> </w:t>
      </w:r>
      <w:r>
        <w:t xml:space="preserve">(использовал учётную запись администратора) (рис -</w:t>
      </w:r>
      <w:r>
        <w:t xml:space="preserve"> </w:t>
      </w:r>
      <w:r>
        <w:t xml:space="preserve">@fig:001</w:t>
      </w:r>
      <w:r>
        <w:t xml:space="preserve">). Для этого использовал команду</w:t>
      </w:r>
      <w:r>
        <w:t xml:space="preserve"> </w:t>
      </w:r>
    </w:p>
    <w:p>
      <w:pPr>
        <w:pStyle w:val="FirstParagraph"/>
      </w:pPr>
      <w:r>
        <w:t xml:space="preserve">Задал пароль для пользователя</w:t>
      </w:r>
      <w:r>
        <w:t xml:space="preserve"> </w:t>
      </w:r>
      <w:r>
        <w:t xml:space="preserve"> </w:t>
      </w:r>
      <w:r>
        <w:t xml:space="preserve">(использовал учётную запись администратора) (рис</w:t>
      </w:r>
      <w:r>
        <w:t xml:space="preserve"> </w:t>
      </w:r>
      <w:r>
        <w:t xml:space="preserve">@fig:002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4" w:name="fig:002"/>
      <w:r>
        <w:drawing>
          <wp:inline>
            <wp:extent cx="5334000" cy="4870173"/>
            <wp:effectExtent b="0" l="0" r="0" t="0"/>
            <wp:docPr descr="Создание учетной записи 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0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учетной записи</w:t>
      </w:r>
      <w:r>
        <w:t xml:space="preserve"> </w:t>
      </w:r>
    </w:p>
    <w:p>
      <w:pPr>
        <w:pStyle w:val="BodyText"/>
      </w:pPr>
      <w:r>
        <w:t xml:space="preserve">Аналогично создал второго пользователя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6" w:name="fig:003"/>
      <w:r>
        <w:drawing>
          <wp:inline>
            <wp:extent cx="5334000" cy="1470000"/>
            <wp:effectExtent b="0" l="0" r="0" t="0"/>
            <wp:docPr descr="Создание учетной записи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учетной записи</w:t>
      </w:r>
      <w:r>
        <w:t xml:space="preserve"> </w:t>
      </w:r>
    </w:p>
    <w:p>
      <w:pPr>
        <w:pStyle w:val="BodyText"/>
      </w:pPr>
      <w:r>
        <w:t xml:space="preserve">Добавил пользователя</w:t>
      </w:r>
      <w:r>
        <w:t xml:space="preserve"> </w:t>
      </w:r>
      <w:r>
        <w:t xml:space="preserve"> </w:t>
      </w:r>
      <w:r>
        <w:t xml:space="preserve">в группу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@fig:004</w:t>
      </w:r>
      <w:r>
        <w:t xml:space="preserve">):</w:t>
      </w:r>
    </w:p>
    <w:p>
      <w:pPr>
        <w:pStyle w:val="CaptionedFigure"/>
      </w:pPr>
      <w:bookmarkStart w:id="28" w:name="fig:004"/>
      <w:r>
        <w:drawing>
          <wp:inline>
            <wp:extent cx="5334000" cy="537600"/>
            <wp:effectExtent b="0" l="0" r="0" t="0"/>
            <wp:docPr descr="Добавление пользователя  в группу " title="" id="1" name="Picture"/>
            <a:graphic>
              <a:graphicData uri="http://schemas.openxmlformats.org/drawingml/2006/picture">
                <pic:pic>
                  <pic:nvPicPr>
                    <pic:cNvPr descr="image/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Добавление пользователя</w:t>
      </w:r>
      <w:r>
        <w:t xml:space="preserve"> </w:t>
      </w:r>
      <w:r>
        <w:t xml:space="preserve"> </w:t>
      </w:r>
      <w:r>
        <w:t xml:space="preserve">в группу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Вошел в систему от двух пользователей на двух разных консолях (рис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0" w:name="fig:005"/>
      <w:r>
        <w:drawing>
          <wp:inline>
            <wp:extent cx="5334000" cy="4615510"/>
            <wp:effectExtent b="0" l="0" r="0" t="0"/>
            <wp:docPr descr="Вход в систему для двух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Вход в систему для двух пользователей</w:t>
      </w:r>
    </w:p>
    <w:p>
      <w:pPr>
        <w:pStyle w:val="BodyText"/>
      </w:pPr>
      <w:r>
        <w:t xml:space="preserve">Для обоих пользователей командой</w:t>
      </w:r>
      <w:r>
        <w:t xml:space="preserve"> </w:t>
      </w:r>
      <w:r>
        <w:t xml:space="preserve"> </w:t>
      </w:r>
      <w:r>
        <w:t xml:space="preserve">определил директории, в которых я нахожусь. Они совпадают с приглашением командной строки (рис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2" w:name="fig:006"/>
      <w:r>
        <w:drawing>
          <wp:inline>
            <wp:extent cx="5334000" cy="4610877"/>
            <wp:effectExtent b="0" l="0" r="0" t="0"/>
            <wp:docPr descr="Определение текущей директори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Определение текущей директории</w:t>
      </w:r>
    </w:p>
    <w:p>
      <w:pPr>
        <w:pStyle w:val="BodyText"/>
      </w:pPr>
      <w:r>
        <w:t xml:space="preserve">Уточнил имена своих пользователей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@fig:007</w:t>
      </w:r>
      <w:r>
        <w:t xml:space="preserve">), их группы, кто входит в них и к каким группам принадлежат они сами, а также определил командами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, в какие группы входят пользователи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4" w:name="fig:007"/>
      <w:r>
        <w:drawing>
          <wp:inline>
            <wp:extent cx="5334000" cy="4569771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Уточнение имени пользователей</w:t>
      </w:r>
    </w:p>
    <w:p>
      <w:pPr>
        <w:pStyle w:val="CaptionedFigure"/>
      </w:pPr>
      <w:bookmarkStart w:id="36" w:name="fig:008"/>
      <w:r>
        <w:drawing>
          <wp:inline>
            <wp:extent cx="5334000" cy="4623320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Уточнение имени пользователей</w:t>
      </w:r>
    </w:p>
    <w:p>
      <w:pPr>
        <w:pStyle w:val="BodyText"/>
      </w:pPr>
      <w:r>
        <w:t xml:space="preserve">Сравнил вывод команды</w:t>
      </w:r>
      <w:r>
        <w:t xml:space="preserve"> </w:t>
      </w:r>
      <w:r>
        <w:t xml:space="preserve"> </w:t>
      </w:r>
      <w:r>
        <w:t xml:space="preserve">с выводом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@fig:009</w:t>
      </w:r>
      <w:r>
        <w:t xml:space="preserve">). Группы совпадают, однако при выводкоманд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объемнее.</w:t>
      </w:r>
    </w:p>
    <w:p>
      <w:pPr>
        <w:pStyle w:val="CaptionedFigure"/>
      </w:pPr>
      <w:bookmarkStart w:id="38" w:name="fig:009"/>
      <w:r>
        <w:drawing>
          <wp:inline>
            <wp:extent cx="5334000" cy="4585368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Уточнение имени пользователей</w:t>
      </w:r>
    </w:p>
    <w:p>
      <w:pPr>
        <w:pStyle w:val="BodyText"/>
      </w:pPr>
      <w:r>
        <w:t xml:space="preserve">Сравнил полученную информацию с содержимым файла</w:t>
      </w:r>
      <w:r>
        <w:t xml:space="preserve"> </w:t>
      </w:r>
      <w:r>
        <w:t xml:space="preserve">. Просмотрел файл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@fig:010</w:t>
      </w:r>
      <w:r>
        <w:t xml:space="preserve">, рис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0" w:name="fig:010"/>
      <w:r>
        <w:drawing>
          <wp:inline>
            <wp:extent cx="5334000" cy="2021586"/>
            <wp:effectExtent b="0" l="0" r="0" t="0"/>
            <wp:docPr descr="Сравнение полученной информации (часть 1)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Сравнение полученной информации (часть 1)</w:t>
      </w:r>
    </w:p>
    <w:p>
      <w:pPr>
        <w:pStyle w:val="CaptionedFigure"/>
      </w:pPr>
      <w:bookmarkStart w:id="42" w:name="fig:011"/>
      <w:r>
        <w:drawing>
          <wp:inline>
            <wp:extent cx="5334000" cy="1545857"/>
            <wp:effectExtent b="0" l="0" r="0" t="0"/>
            <wp:docPr descr="Сравнение полученной информации (часть 2)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Сравнение полученной информации (часть 2)</w:t>
      </w:r>
    </w:p>
    <w:p>
      <w:pPr>
        <w:pStyle w:val="BodyText"/>
      </w:pPr>
      <w:r>
        <w:t xml:space="preserve">Как видно из рисунка, информация об имени пользователя совпадает с полученной ранее информацией.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выполнил регистрацию пользователя</w:t>
      </w:r>
      <w:r>
        <w:t xml:space="preserve"> </w:t>
      </w:r>
      <w:r>
        <w:t xml:space="preserve"> </w:t>
      </w:r>
      <w:r>
        <w:t xml:space="preserve">в группе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4" w:name="fig:012"/>
      <w:r>
        <w:drawing>
          <wp:inline>
            <wp:extent cx="5334000" cy="2354370"/>
            <wp:effectExtent b="0" l="0" r="0" t="0"/>
            <wp:docPr descr="Регистрация пользователя  в группе 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Регистрация пользователя</w:t>
      </w:r>
      <w:r>
        <w:t xml:space="preserve"> </w:t>
      </w:r>
      <w:r>
        <w:t xml:space="preserve"> </w:t>
      </w:r>
      <w:r>
        <w:t xml:space="preserve">в группе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изменил права директории</w:t>
      </w:r>
      <w:r>
        <w:t xml:space="preserve"> </w:t>
      </w:r>
      <w:r>
        <w:t xml:space="preserve">, разрешив все действия для пользователей группы,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6" w:name="fig:013"/>
      <w:r>
        <w:drawing>
          <wp:inline>
            <wp:extent cx="5334000" cy="2160114"/>
            <wp:effectExtent b="0" l="0" r="0" t="0"/>
            <wp:docPr descr="Изменение прав директори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Изменение прав директории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снял с директории</w:t>
      </w:r>
      <w:r>
        <w:t xml:space="preserve"> 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. Проверил это действие с помощью команды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48" w:name="fig:014"/>
      <w:r>
        <w:drawing>
          <wp:inline>
            <wp:extent cx="5334000" cy="2312697"/>
            <wp:effectExtent b="0" l="0" r="0" t="0"/>
            <wp:docPr descr="Снятие всех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Снятие всех атрибутов с директории</w:t>
      </w:r>
    </w:p>
    <w:p>
      <w:pPr>
        <w:numPr>
          <w:ilvl w:val="0"/>
          <w:numId w:val="1004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  <w:r>
        <w:t xml:space="preserve">, меняя атрибуты у директории</w:t>
      </w:r>
      <w:r>
        <w:t xml:space="preserve"> </w:t>
      </w:r>
      <w:r>
        <w:t xml:space="preserve"> </w:t>
      </w:r>
      <w:r>
        <w:t xml:space="preserve">и файла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t xml:space="preserve">, делая проверку от пользователя</w:t>
      </w:r>
      <w:r>
        <w:t xml:space="preserve"> </w:t>
      </w:r>
      <w:r>
        <w:t xml:space="preserve"> </w:t>
      </w:r>
      <w:r>
        <w:t xml:space="preserve">и определяя опытным путем, какие операции разрешены, а какие нет.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- операция разрешена,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операция не разрешена (таб. 3.1)</w:t>
      </w:r>
    </w:p>
    <w:p>
      <w:pPr>
        <w:pStyle w:val="TableCaption"/>
      </w:pPr>
      <w:r>
        <w:t xml:space="preserve">Установленные права и разрешенные действия для групп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Установленные права и разрешенные действия для групп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На основании заполненной выше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, заполняя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  <w:r>
        <w:t xml:space="preserve"> </w:t>
      </w:r>
      <w:r>
        <w:t xml:space="preserve">(таб. 3.2).</w:t>
      </w:r>
    </w:p>
    <w:p>
      <w:pPr>
        <w:pStyle w:val="TableCaption"/>
      </w:pPr>
      <w:r>
        <w:t xml:space="preserve">Минимальные права для совершения операций от имени пользователей, входящих в группу</w:t>
      </w:r>
    </w:p>
    <w:tbl>
      <w:tblPr>
        <w:tblStyle w:val="Table"/>
        <w:tblW w:type="pct" w:w="0.0"/>
        <w:tblLook w:firstRow="1" w:lastRow="0" w:firstColumn="0" w:lastColumn="0" w:noHBand="0" w:noVBand="0"/>
        <w:tblCaption w:val="Минимальные права для совершения операций от имени пользователей, входящих в группу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 права на директорию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p>
            <w:pPr>
              <w:pStyle w:val="Compact"/>
              <w:jc w:val="left"/>
            </w:pPr>
            <w:r>
              <w:t xml:space="preserve">(r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p>
            <w:pPr>
              <w:pStyle w:val="Compact"/>
              <w:jc w:val="left"/>
            </w:pPr>
            <w:r>
              <w:t xml:space="preserve">(- w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(- w x / r-x)</w:t>
            </w:r>
          </w:p>
        </w:tc>
        <w:tc>
          <w:p>
            <w:pPr>
              <w:pStyle w:val="Compact"/>
              <w:jc w:val="left"/>
            </w:pPr>
            <w:r>
              <w:t xml:space="preserve">(- - -)</w:t>
            </w:r>
          </w:p>
        </w:tc>
      </w:tr>
    </w:tbl>
    <w:p>
      <w:pPr>
        <w:pStyle w:val="BodyText"/>
      </w:pPr>
      <w:r>
        <w:t xml:space="preserve">По сравнению с таблицей из предыдущей лабораторной работой, в которой рассматривались права доступа владельца, таблица 3.2 не везде имеет права на запись, чтени и изменение атрибутов файлов. Это объясняется тем, что в данной работе рассматривались права доступа для группы, к которой принадлежат владельцы.</w:t>
      </w:r>
    </w:p>
    <w:p>
      <w:pPr>
        <w:pStyle w:val="Heading1"/>
      </w:pPr>
      <w:bookmarkStart w:id="49" w:name="выводы"/>
      <w:r>
        <w:t xml:space="preserve">Выводы</w:t>
      </w:r>
      <w:bookmarkEnd w:id="49"/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p>
      <w:pPr>
        <w:pStyle w:val="Heading1"/>
      </w:pPr>
      <w:bookmarkStart w:id="50" w:name="список-литературы"/>
      <w:r>
        <w:t xml:space="preserve">Список литературы</w:t>
      </w:r>
      <w:bookmarkEnd w:id="50"/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3. Дискреционное разграничение прав</w:t>
      </w:r>
      <w:r>
        <w:t xml:space="preserve"> </w:t>
      </w:r>
      <w:r>
        <w:t xml:space="preserve">в Linux. Два пользователя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Бешкуров Михаил Борисович</dc:creator>
  <dc:language>ru-RU</dc:language>
  <cp:keywords/>
  <dcterms:created xsi:type="dcterms:W3CDTF">2021-10-29T11:28:11Z</dcterms:created>
  <dcterms:modified xsi:type="dcterms:W3CDTF">2021-10-29T11:28:11Z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Дискреционное разграничение прав в Linux. Два пользователя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