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 [1].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должна определить вид шифротекста при известном ключе и известном открытом тексте</w:t>
      </w:r>
    </w:p>
    <w:p>
      <w:pPr>
        <w:numPr>
          <w:ilvl w:val="0"/>
          <w:numId w:val="1001"/>
        </w:numPr>
        <w:pStyle w:val="Compact"/>
      </w:pPr>
      <w:r>
        <w:t xml:space="preserve">Также эта программа должна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известном открытом тексте</w:t>
      </w:r>
      <w:r>
        <w:t xml:space="preserve"> </w:t>
      </w:r>
      <w:r>
        <w:t xml:space="preserve">“</w:t>
      </w:r>
      <w:r>
        <w:t xml:space="preserve">С Новы Годом, друзья!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2733088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6" w:name="fig:002"/>
      <w:r>
        <w:drawing>
          <wp:inline>
            <wp:extent cx="5334000" cy="1567336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2022950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30" w:name="fig:004"/>
      <w:r>
        <w:drawing>
          <wp:inline>
            <wp:extent cx="5334000" cy="1389815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Результат работы функции, дешифрующей данные</w:t>
      </w:r>
    </w:p>
    <w:p>
      <w:pPr>
        <w:pStyle w:val="BodyText"/>
      </w:pPr>
      <w:r>
        <w:t xml:space="preserve">Сравнение ключей, полученных с помощью первой и второй функций (рис -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2" w:name="fig:005"/>
      <w:r>
        <w:drawing>
          <wp:inline>
            <wp:extent cx="5334000" cy="511016"/>
            <wp:effectExtent b="0" l="0" r="0" t="0"/>
            <wp:docPr descr="Сравнение ключ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Сравнение ключей</w:t>
      </w:r>
    </w:p>
    <w:p>
      <w:pPr>
        <w:pStyle w:val="Heading1"/>
      </w:pPr>
      <w:bookmarkStart w:id="33" w:name="выводы"/>
      <w:r>
        <w:t xml:space="preserve">Выводы</w:t>
      </w:r>
      <w:bookmarkEnd w:id="33"/>
    </w:p>
    <w:p>
      <w:pPr>
        <w:pStyle w:val="FirstParagraph"/>
      </w:pPr>
      <w:r>
        <w:t xml:space="preserve">Освоил на практике применение режима однократного гаммирования.</w:t>
      </w:r>
    </w:p>
    <w:p>
      <w:pPr>
        <w:pStyle w:val="Heading1"/>
      </w:pPr>
      <w:bookmarkStart w:id="34" w:name="ответы-на-контрольные-вопросы"/>
      <w:r>
        <w:t xml:space="preserve">Ответы на контрольные вопросы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Одократное гаммирование -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4"/>
        </w:numPr>
        <w:pStyle w:val="Compact"/>
      </w:pPr>
      <w:r>
        <w:t xml:space="preserve">Недостатки однократного гаммирования: 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4"/>
        </w:numPr>
        <w:pStyle w:val="Compact"/>
      </w:pPr>
      <w:r>
        <w:t xml:space="preserve">Преимущества однократного гаммирования: во-первых, такой способ симметричен, т.е. двойное прибавление одной и той же величины по модулю 2 восстанавливает исходное значение; 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4"/>
        </w:numPr>
        <w:pStyle w:val="Compact"/>
      </w:pPr>
      <w:r>
        <w:t xml:space="preserve">Длина открытого текста должна совпадать с длиной ключа, т.к. если ключ короче текста, то операция XOR будет применена не ко всем элементам и конец сообщения будет не закодирован, а если ключ будет длиннее, то появится неоднозначность декодирования.</w:t>
      </w:r>
    </w:p>
    <w:p>
      <w:pPr>
        <w:numPr>
          <w:ilvl w:val="0"/>
          <w:numId w:val="1004"/>
        </w:numPr>
        <w:pStyle w:val="Compact"/>
      </w:pPr>
      <w:r>
        <w:t xml:space="preserve">Операция XOR используется в режиме однократного гаммирования. 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4"/>
        </w:numPr>
        <w:pStyle w:val="Compact"/>
      </w:pPr>
      <w:r>
        <w:t xml:space="preserve">Получение шифротекста по открытому тексту и ключу: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4"/>
        </w:numPr>
        <w:pStyle w:val="Compact"/>
      </w:pPr>
      <w:r>
        <w:t xml:space="preserve">Получение ключа по окрытому тексту и шифротексту: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⊕</m:t>
        </m:r>
        <m:sSub>
          <m:e>
            <m:r>
              <m:t>C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4"/>
        </w:numPr>
        <w:pStyle w:val="Compact"/>
      </w:pPr>
      <w:r>
        <w:t xml:space="preserve">Необходимы и достаточные условия абсолютной стойкости шифра: полная случайность ключа; равенство длин ключа и открытого текста; однократное использование ключа.</w:t>
      </w:r>
    </w:p>
    <w:p>
      <w:pPr>
        <w:pStyle w:val="Heading1"/>
      </w:pPr>
      <w:bookmarkStart w:id="35" w:name="список-литературы"/>
      <w:r>
        <w:t xml:space="preserve">Список литературы</w:t>
      </w:r>
      <w:bookmarkEnd w:id="35"/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7. Элементы криптографии. Однократное гаммирование.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Бешкуров Михаил Борисович</dc:creator>
  <dc:language>ru-RU</dc:language>
  <cp:keywords/>
  <dcterms:created xsi:type="dcterms:W3CDTF">2021-12-11T16:25:24Z</dcterms:created>
  <dcterms:modified xsi:type="dcterms:W3CDTF">2021-12-11T16:25:24Z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Элементы криптографии. Однократное гаммирование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