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Рассмотреть простейшую модель боевых действий – модель Ланчестера:</w:t>
      </w:r>
    </w:p>
    <w:p>
      <w:pPr>
        <w:numPr>
          <w:ilvl w:val="1"/>
          <w:numId w:val="1002"/>
        </w:numPr>
        <w:pStyle w:val="Compact"/>
      </w:pPr>
      <w:r>
        <w:t xml:space="preserve">Просчитывать возможности подходов подкреплений к армиям;</w:t>
      </w:r>
    </w:p>
    <w:p>
      <w:pPr>
        <w:numPr>
          <w:ilvl w:val="1"/>
          <w:numId w:val="1002"/>
        </w:numPr>
        <w:pStyle w:val="Compact"/>
      </w:pPr>
      <w:r>
        <w:t xml:space="preserve">Составлять системы дифференциальных уравнений изменения численностей армий;</w:t>
      </w:r>
    </w:p>
    <w:p>
      <w:pPr>
        <w:numPr>
          <w:ilvl w:val="1"/>
          <w:numId w:val="1002"/>
        </w:numPr>
        <w:pStyle w:val="Compact"/>
      </w:pPr>
      <w:r>
        <w:t xml:space="preserve">Строить графики для моделей боевых действий.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</m:oMath>
      <w:r>
        <w:t xml:space="preserve">. В начальный момент времени страна Х имеет армию численностью 21 000 человек, а в распоряжении страны У армия численностью в 9 850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BodyText"/>
      </w:pPr>
      <w:r>
        <w:t xml:space="preserve">Между регулярными войсками: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0.44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0.83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y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0.45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0.71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Между регулярными и партизанами: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0.31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0.78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|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2</m:t>
          </m:r>
          <m:r>
            <m:t>t</m:t>
          </m:r>
          <m:r>
            <m:t>)</m:t>
          </m:r>
          <m: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y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0.25</m:t>
          </m:r>
          <m:r>
            <m:t>x</m:t>
          </m:r>
          <m:r>
            <m:t>(</m:t>
          </m:r>
          <m:r>
            <m:t>t</m:t>
          </m:r>
          <m:r>
            <m:t>)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0.71</m:t>
          </m:r>
          <m:r>
            <m:t>y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|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4</m:t>
          </m:r>
          <m:r>
            <m:t>t</m:t>
          </m:r>
          <m:r>
            <m:t>)</m:t>
          </m:r>
          <m:r>
            <m:t>|</m:t>
          </m:r>
        </m:oMath>
      </m:oMathPara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Код на python:</w:t>
      </w:r>
    </w:p>
    <w:p>
      <w:pPr>
        <w:pStyle w:val="BodyText"/>
      </w:pPr>
      <w:r>
        <w:t xml:space="preserve">Коэффициенты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2396869"/>
            <wp:effectExtent b="0" l="0" r="0" t="0"/>
            <wp:docPr descr="Коэффициенты" title="" id="1" name="Picture"/>
            <a:graphic>
              <a:graphicData uri="http://schemas.openxmlformats.org/drawingml/2006/picture">
                <pic:pic>
                  <pic:nvPicPr>
                    <pic:cNvPr descr="images/coe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Коэффициенты</w:t>
      </w:r>
    </w:p>
    <w:p>
      <w:pPr>
        <w:pStyle w:val="BodyText"/>
      </w:pPr>
      <w:r>
        <w:t xml:space="preserve">Функции 1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1936139"/>
            <wp:effectExtent b="0" l="0" r="0" t="0"/>
            <wp:docPr descr="Функции 1" title="" id="1" name="Picture"/>
            <a:graphic>
              <a:graphicData uri="http://schemas.openxmlformats.org/drawingml/2006/picture">
                <pic:pic>
                  <pic:nvPicPr>
                    <pic:cNvPr descr="images/funk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Функции 1</w:t>
      </w:r>
    </w:p>
    <w:p>
      <w:pPr>
        <w:pStyle w:val="BodyText"/>
      </w:pPr>
      <w:r>
        <w:t xml:space="preserve">Функции 2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1"/>
      <w:r>
        <w:drawing>
          <wp:inline>
            <wp:extent cx="5334000" cy="1402325"/>
            <wp:effectExtent b="0" l="0" r="0" t="0"/>
            <wp:docPr descr="Функции 2" title="" id="1" name="Picture"/>
            <a:graphic>
              <a:graphicData uri="http://schemas.openxmlformats.org/drawingml/2006/picture">
                <pic:pic>
                  <pic:nvPicPr>
                    <pic:cNvPr descr="images/funk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Функции 2</w:t>
      </w:r>
    </w:p>
    <w:p>
      <w:pPr>
        <w:pStyle w:val="BodyText"/>
      </w:pPr>
      <w:r>
        <w:t xml:space="preserve">График первого случая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0" w:name="fig:001"/>
      <w:r>
        <w:drawing>
          <wp:inline>
            <wp:extent cx="5334000" cy="2761941"/>
            <wp:effectExtent b="0" l="0" r="0" t="0"/>
            <wp:docPr descr="Две регулярные армии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Две регулярные армии</w:t>
      </w:r>
    </w:p>
    <w:p>
      <w:pPr>
        <w:pStyle w:val="BodyText"/>
      </w:pPr>
      <w:r>
        <w:t xml:space="preserve">График второго случай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2" w:name="fig:002"/>
      <w:r>
        <w:drawing>
          <wp:inline>
            <wp:extent cx="5334000" cy="2190982"/>
            <wp:effectExtent b="0" l="0" r="0" t="0"/>
            <wp:docPr descr="Регулярная армия и партизаны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Регулярная армия и партизаны</w:t>
      </w:r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numPr>
          <w:ilvl w:val="0"/>
          <w:numId w:val="1003"/>
        </w:numPr>
        <w:pStyle w:val="Compact"/>
      </w:pPr>
      <w:r>
        <w:t xml:space="preserve">Рассмотрел простейшую модель боевых действий – модель Ланчестера:</w:t>
      </w:r>
    </w:p>
    <w:p>
      <w:pPr>
        <w:numPr>
          <w:ilvl w:val="1"/>
          <w:numId w:val="1004"/>
        </w:numPr>
        <w:pStyle w:val="Compact"/>
      </w:pPr>
      <w:r>
        <w:t xml:space="preserve">Научился просчитывать возможности подходов подкреплений к армиям;</w:t>
      </w:r>
    </w:p>
    <w:p>
      <w:pPr>
        <w:numPr>
          <w:ilvl w:val="1"/>
          <w:numId w:val="1004"/>
        </w:numPr>
        <w:pStyle w:val="Compact"/>
      </w:pPr>
      <w:r>
        <w:t xml:space="preserve">Научился оставлять системы дифференциальных уравнений изменения численностей армий;</w:t>
      </w:r>
    </w:p>
    <w:p>
      <w:pPr>
        <w:numPr>
          <w:ilvl w:val="1"/>
          <w:numId w:val="1004"/>
        </w:numPr>
        <w:pStyle w:val="Compact"/>
      </w:pPr>
      <w:r>
        <w:t xml:space="preserve">Научился строить графики для моделей боевых действий.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Бешкуров Михаил Борисович</dc:creator>
  <dc:language>ru-RU</dc:language>
  <cp:keywords/>
  <dcterms:created xsi:type="dcterms:W3CDTF">2021-02-27T19:30:24Z</dcterms:created>
  <dcterms:modified xsi:type="dcterms:W3CDTF">2021-02-27T19:30:24Z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Модель боевых действий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