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моделью линейного гармонического осциллятора и ее построение с помощью языка программирования Python.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без затуханий и без действий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с затуханием и без действий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с затуханием и под действием внешней силы.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f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m:oMath>
        <m:r>
          <m:t>x</m:t>
        </m:r>
      </m:oMath>
      <w:r>
        <w:t xml:space="preserve"> </w:t>
      </w:r>
      <w:r>
        <w:t xml:space="preserve">— переменная, описывающая состояние системы (смещение грузика, заряд конденсатора и т.д.)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— частота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затухание</w:t>
      </w:r>
      <w:r>
        <w:t xml:space="preserve"> </w:t>
      </w:r>
      <w:r>
        <w:t xml:space="preserve">Интервал:</w:t>
      </w:r>
      <w:r>
        <w:t xml:space="preserve"> </w:t>
      </w:r>
      <m:oMath>
        <m:r>
          <m:t>t</m:t>
        </m:r>
        <m:r>
          <m:t>∈</m:t>
        </m:r>
        <m:r>
          <m:t>[</m:t>
        </m:r>
        <m:r>
          <m:t>0</m:t>
        </m:r>
        <m:r>
          <m:t>;</m:t>
        </m:r>
        <m:r>
          <m:t>77</m:t>
        </m:r>
        <m:r>
          <m:t>]</m:t>
        </m:r>
      </m:oMath>
      <w:r>
        <w:t xml:space="preserve"> </w:t>
      </w:r>
      <w:r>
        <w:t xml:space="preserve">(шаг 0.05).</w:t>
      </w:r>
      <w:r>
        <w:t xml:space="preserve"> </w:t>
      </w:r>
      <w:r>
        <w:t xml:space="preserve">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0.7</m:t>
        </m:r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−</m:t>
        </m:r>
        <m:r>
          <m:t>0.7</m:t>
        </m:r>
      </m:oMath>
    </w:p>
    <w:p>
      <w:pPr>
        <w:numPr>
          <w:ilvl w:val="0"/>
          <w:numId w:val="1002"/>
        </w:numPr>
        <w:pStyle w:val="Compact"/>
      </w:pPr>
      <w:r>
        <w:t xml:space="preserve">Уравнение гармонического осциллятора без затухания и без действия внешней силы: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r>
            <m:t>7.7</m:t>
          </m:r>
          <m:r>
            <m:t>x</m:t>
          </m:r>
          <m:r>
            <m:t>=</m:t>
          </m:r>
          <m:r>
            <m:t>f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где</w:t>
      </w:r>
      <w:r>
        <w:t xml:space="preserve"> </w:t>
      </w:r>
      <m:oMath>
        <m:r>
          <m:t>w</m:t>
        </m:r>
        <m:r>
          <m:t>=</m:t>
        </m:r>
        <m:rad>
          <m:radPr>
            <m:degHide m:val="1"/>
          </m:radPr>
          <m:deg/>
          <m:e>
            <m:r>
              <m:t>7.7</m:t>
            </m:r>
          </m:e>
        </m:rad>
      </m:oMath>
      <w:r>
        <w:t xml:space="preserve"> </w:t>
      </w:r>
      <m:oMath>
        <m:r>
          <m:t>γ</m:t>
        </m:r>
        <m:r>
          <m:t>=</m:t>
        </m:r>
        <m:r>
          <m:t>0.0</m:t>
        </m:r>
      </m:oMath>
      <w:r>
        <w:t xml:space="preserve"> </w:t>
      </w:r>
      <m:oMath>
        <m:r>
          <m:t>f</m:t>
        </m:r>
        <m:r>
          <m:t>(</m:t>
        </m:r>
        <m:r>
          <m:t>t</m:t>
        </m:r>
        <m:r>
          <m:t>)</m:t>
        </m:r>
        <m:r>
          <m:t>=</m:t>
        </m:r>
        <m:r>
          <m:t>0.0</m:t>
        </m:r>
      </m:oMath>
      <w:r>
        <w:t xml:space="preserve"> </w:t>
      </w:r>
      <w:r>
        <w:t xml:space="preserve">Ниже представлен код программы для первого случая, выполненный на языке программирования Python.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1890203"/>
            <wp:effectExtent b="0" l="0" r="0" t="0"/>
            <wp:docPr descr="Код програм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Код программы для первого случая</w:t>
      </w:r>
    </w:p>
    <w:p>
      <w:pPr>
        <w:pStyle w:val="BodyText"/>
      </w:pPr>
      <w:r>
        <w:t xml:space="preserve">Также ниже представле график для первого случая.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3598150"/>
            <wp:effectExtent b="0" l="0" r="0" t="0"/>
            <wp:docPr descr="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Уравнение гармонического осциллятора с затуханием и без действия внешней силы: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r>
            <m:t>7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+</m:t>
          </m:r>
          <m:r>
            <m:t>7.7</m:t>
          </m:r>
          <m:r>
            <m:t>x</m:t>
          </m:r>
          <m: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где</w:t>
      </w:r>
      <w:r>
        <w:t xml:space="preserve"> </w:t>
      </w:r>
      <m:oMath>
        <m:r>
          <m:t>w</m:t>
        </m:r>
        <m:r>
          <m:t>=</m:t>
        </m:r>
        <m:rad>
          <m:radPr>
            <m:degHide m:val="1"/>
          </m:radPr>
          <m:deg/>
          <m:e>
            <m:r>
              <m:t>7.7</m:t>
            </m:r>
          </m:e>
        </m:rad>
      </m:oMath>
      <w:r>
        <w:t xml:space="preserve"> </w:t>
      </w:r>
      <m:oMath>
        <m:r>
          <m:t>γ</m:t>
        </m:r>
        <m:r>
          <m:t>=</m:t>
        </m:r>
        <m:r>
          <m:t>3.5</m:t>
        </m:r>
      </m:oMath>
      <w:r>
        <w:t xml:space="preserve"> </w:t>
      </w:r>
      <m:oMath>
        <m:r>
          <m:t>f</m:t>
        </m:r>
        <m:r>
          <m:t>(</m:t>
        </m:r>
        <m:r>
          <m:t>t</m:t>
        </m:r>
        <m:r>
          <m:t>)</m:t>
        </m:r>
        <m:r>
          <m:t>=</m:t>
        </m:r>
        <m:r>
          <m:t>0.0</m:t>
        </m:r>
      </m:oMath>
      <w:r>
        <w:t xml:space="preserve"> </w:t>
      </w:r>
      <w:r>
        <w:t xml:space="preserve">Ниже представлен код программы для второго случая, выполненный на языке программирования Python.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8" w:name="fig:001"/>
      <w:r>
        <w:drawing>
          <wp:inline>
            <wp:extent cx="5334000" cy="2545772"/>
            <wp:effectExtent b="0" l="0" r="0" t="0"/>
            <wp:docPr descr="Код програм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Код программы для второго случая</w:t>
      </w:r>
    </w:p>
    <w:p>
      <w:pPr>
        <w:pStyle w:val="BodyText"/>
      </w:pPr>
      <w:r>
        <w:t xml:space="preserve">Также ниже представле график для второго случая.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0" w:name="fig:001"/>
      <w:r>
        <w:drawing>
          <wp:inline>
            <wp:extent cx="5334000" cy="3483428"/>
            <wp:effectExtent b="0" l="0" r="0" t="0"/>
            <wp:docPr descr="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для второго случая</w:t>
      </w:r>
    </w:p>
    <w:p>
      <w:pPr>
        <w:numPr>
          <w:ilvl w:val="0"/>
          <w:numId w:val="1004"/>
        </w:numPr>
        <w:pStyle w:val="Compact"/>
      </w:pPr>
      <w:r>
        <w:t xml:space="preserve">Уравнение гармонического осциллятора с затуханием и под действием внешней силы: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r>
            <m:t>7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+</m:t>
          </m:r>
          <m:r>
            <m:t>7.7</m:t>
          </m:r>
          <m:r>
            <m:t>x</m:t>
          </m:r>
          <m:r>
            <m:t>=</m:t>
          </m:r>
          <m:r>
            <m:t>0.7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7</m:t>
          </m:r>
          <m:r>
            <m:t>t</m:t>
          </m:r>
          <m:r>
            <m:t>)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где</w:t>
      </w:r>
      <w:r>
        <w:t xml:space="preserve"> </w:t>
      </w:r>
      <m:oMath>
        <m:r>
          <m:t>w</m:t>
        </m:r>
        <m:r>
          <m:t>=</m:t>
        </m:r>
        <m:rad>
          <m:radPr>
            <m:degHide m:val="1"/>
          </m:radPr>
          <m:deg/>
          <m:e>
            <m:r>
              <m:t>7.7</m:t>
            </m:r>
          </m:e>
        </m:rad>
      </m:oMath>
      <w:r>
        <w:t xml:space="preserve"> </w:t>
      </w:r>
      <m:oMath>
        <m:r>
          <m:t>γ</m:t>
        </m:r>
        <m:r>
          <m:t>=</m:t>
        </m:r>
        <m:r>
          <m:t>3.5</m:t>
        </m:r>
      </m:oMath>
      <w:r>
        <w:t xml:space="preserve"> </w:t>
      </w:r>
      <m:oMath>
        <m:r>
          <m:t>f</m:t>
        </m:r>
        <m:r>
          <m:t>(</m:t>
        </m:r>
        <m:r>
          <m:t>t</m:t>
        </m:r>
        <m:r>
          <m:t>)</m:t>
        </m:r>
        <m:r>
          <m:t>=</m:t>
        </m:r>
        <m:r>
          <m:t>0.7</m:t>
        </m:r>
        <m:r>
          <m:t>s</m:t>
        </m:r>
        <m:r>
          <m:t>i</m:t>
        </m:r>
        <m:r>
          <m:t>n</m:t>
        </m:r>
        <m:r>
          <m:t>(</m:t>
        </m:r>
        <m:r>
          <m:t>7</m:t>
        </m:r>
        <m:r>
          <m:t>t</m:t>
        </m:r>
        <m:r>
          <m:t>)</m:t>
        </m:r>
      </m:oMath>
      <w:r>
        <w:t xml:space="preserve"> </w:t>
      </w:r>
      <w:r>
        <w:t xml:space="preserve">Ниже представлен код программы для третьего случая, выполненный на языке программирования Python. (рис 5.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2" w:name="fig:001"/>
      <w:r>
        <w:drawing>
          <wp:inline>
            <wp:extent cx="5334000" cy="2538159"/>
            <wp:effectExtent b="0" l="0" r="0" t="0"/>
            <wp:docPr descr="Код программы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Код программы для третьего случая</w:t>
      </w:r>
    </w:p>
    <w:p>
      <w:pPr>
        <w:pStyle w:val="BodyText"/>
      </w:pPr>
      <w:r>
        <w:t xml:space="preserve">Также ниже представле график для третьего случая. (рис 6.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4" w:name="fig:001"/>
      <w:r>
        <w:drawing>
          <wp:inline>
            <wp:extent cx="5334000" cy="3589547"/>
            <wp:effectExtent b="0" l="0" r="0" t="0"/>
            <wp:docPr descr="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для второго случая</w:t>
      </w:r>
    </w:p>
    <w:p>
      <w:pPr>
        <w:pStyle w:val="Heading1"/>
      </w:pPr>
      <w:bookmarkStart w:id="35" w:name="ответы-на-вопросы"/>
      <w:r>
        <w:t xml:space="preserve">Ответы на вопросы:</w:t>
      </w:r>
      <w:bookmarkEnd w:id="35"/>
    </w:p>
    <w:p>
      <w:pPr>
        <w:numPr>
          <w:ilvl w:val="0"/>
          <w:numId w:val="1005"/>
        </w:numPr>
        <w:pStyle w:val="Compact"/>
      </w:pPr>
      <w:r>
        <w:t xml:space="preserve">Запишите простейшую модель гармонических колебаний</w:t>
      </w:r>
      <w:r>
        <w:t xml:space="preserve"> </w:t>
      </w:r>
      <w:r>
        <w:t xml:space="preserve">Простейшая модель гармонических колебаний имеет следующий вид: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t>=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c</m:t>
          </m:r>
          <m:r>
            <m:t>o</m:t>
          </m:r>
          <m:r>
            <m:t>s</m:t>
          </m:r>
          <m:r>
            <m:t>(</m:t>
          </m:r>
          <m:r>
            <m:t>ω</m:t>
          </m:r>
          <m:r>
            <m:t>t</m:t>
          </m:r>
          <m:r>
            <m:t>+</m:t>
          </m:r>
          <m:sSub>
            <m:e>
              <m:r>
                <m:t>ϕ</m:t>
              </m:r>
            </m:e>
            <m:sub>
              <m:r>
                <m:t>0</m:t>
              </m:r>
            </m:sub>
          </m:sSub>
          <m:r>
            <m:t>)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Дайте определение осциллятора</w:t>
      </w:r>
    </w:p>
    <w:p>
      <w:pPr>
        <w:pStyle w:val="FirstParagraph"/>
      </w:pPr>
      <w:r>
        <w:t xml:space="preserve">Осциллятор - система, совершающая колебания, показатели которой периодически повторяются во времени.</w:t>
      </w:r>
      <w:r>
        <w:t xml:space="preserve"> </w:t>
      </w:r>
      <w:r>
        <w:t xml:space="preserve">3. Запишите модель математического маятника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+</m:t>
          </m:r>
          <m:f>
            <m:fPr>
              <m:type m:val="bar"/>
            </m:fPr>
            <m:num>
              <m:r>
                <m:t>γ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4. 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BodyText"/>
      </w:pPr>
      <w:r>
        <w:t xml:space="preserve">Пусть у нас есть дифференциальное уравнение 2-го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f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Для перехода к системе уравнений первого порядка сделаем замену (это метод Ранге-Кутты):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Тогда получим систему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y</m:t>
                    </m:r>
                    <m:r>
                      <m:t>=</m:t>
                    </m:r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t>=</m:t>
                    </m:r>
                    <m:r>
                      <m:t>−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 Что такое фазовый портрет и фазовая траектория?</w:t>
      </w:r>
    </w:p>
    <w:p>
      <w:pPr>
        <w:pStyle w:val="BodyText"/>
      </w:pPr>
      <w:r>
        <w:t xml:space="preserve">Фазовый портрет — это то, как величины, описывающие состояние системы, зависят друг от друга.</w:t>
      </w:r>
    </w:p>
    <w:p>
      <w:pPr>
        <w:pStyle w:val="BodyText"/>
      </w:pP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p>
      <w:pPr>
        <w:pStyle w:val="Heading1"/>
      </w:pPr>
      <w:bookmarkStart w:id="36" w:name="выводы"/>
      <w:r>
        <w:t xml:space="preserve">Выводы</w:t>
      </w:r>
      <w:bookmarkEnd w:id="36"/>
    </w:p>
    <w:p>
      <w:pPr>
        <w:pStyle w:val="FirstParagraph"/>
      </w:pPr>
      <w:r>
        <w:t xml:space="preserve">Ознакомился с моделью линейного гармонического осциллятора, решив уравнения гармонического осциллятора и построив его фазовые портреты.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Бешкуров Михаил Борисович</dc:creator>
  <dc:language>ru-RU</dc:language>
  <cp:keywords/>
  <dcterms:created xsi:type="dcterms:W3CDTF">2021-03-06T15:07:06Z</dcterms:created>
  <dcterms:modified xsi:type="dcterms:W3CDTF">2021-03-06T15:07:06Z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Модель гармонических колебаний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