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jc w:val="center"/>
      </w:pPr>
      <w:r>
        <w:rPr>
          <w:rFonts w:ascii="黑体" w:hAnsi="黑体" w:eastAsia="黑体"/>
          <w:b/>
          <w:sz w:val="40"/>
        </w:rPr>
        <w:t>README</w:t>
      </w:r>
    </w:p>
    <w:p>
      <w:pPr>
        <w:spacing w:before="0" w:after="200"/>
        <w:pBdr>
          <w:bottom w:val="single" w:sz="12" w:space="1" w:color="1A1A2E"/>
        </w:pBdr>
      </w:pPr>
    </w:p>
    <w:p>
      <w:pPr>
        <w:spacing w:before="200" w:after="80"/>
        <w:jc w:val="left"/>
        <w:pBdr>
          <w:bottom w:val="single" w:sz="6" w:space="1" w:color="2C3E50"/>
        </w:pBdr>
      </w:pPr>
      <w:r>
        <w:rPr>
          <w:rFonts w:ascii="黑体" w:hAnsi="黑体" w:eastAsia="黑体"/>
          <w:b/>
          <w:sz w:val="30"/>
        </w:rPr>
        <w:t>声韵——声乐AI教学智能体 配套资源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目录结构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配套资源-声韵/</w:t>
        <w:br/>
        <w:t>├── 声韵网页端.html              # 主页面文件</w:t>
        <w:br/>
        <w:t>├── 开发日志.md              # 详细开发过程记录</w:t>
        <w:br/>
        <w:t>├── API接口说明.md          # 腾讯元器API调用说明</w:t>
        <w:br/>
        <w:t>├── 使用手册.md              # 智能体使用指南</w:t>
        <w:br/>
        <w:t>├── 提示词.md                  #智能体提示词</w:t>
        <w:br/>
        <w:t>└── README.md              # 本文件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文件说明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1. 声韵网页端.html（主页面）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完整的Web应用页面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双击即可在浏览器中打开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无需安装任何依赖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完整的Web应用页面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使用方法：</w:t>
      </w:r>
      <w:r>
        <w:rPr>
          <w:rFonts w:ascii="微软雅黑" w:hAnsi="微软雅黑" w:eastAsia="微软雅黑"/>
          <w:b w:val="0"/>
          <w:sz w:val="24"/>
        </w:rPr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1. 直接双击 `声韵网页端.html` 在浏览器中打开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2. 或使用 `python -m http.server 8000` 启动本地服务器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3. 浏览器访问 `http://localhost:8000`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1. 直接双击 `声韵网页端.html` 在浏览器中打开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功能说明：</w:t>
      </w:r>
      <w:r>
        <w:rPr>
          <w:rFonts w:ascii="微软雅黑" w:hAnsi="微软雅黑" w:eastAsia="微软雅黑"/>
          <w:b w:val="0"/>
          <w:sz w:val="24"/>
        </w:rPr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四个快捷功能按钮：气息问题诊断、曲目风格解析、课前热身方案、演唱技巧速查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自由输入框：可输入任何声乐相关问题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流式响应：AI回复以打字机效果显示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对话历史：自动维护最近40条对话上下文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四个快捷功能按钮：气息问题诊断、曲目风格解析、课前热身方案、演唱技巧速查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2. 开发日志.md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记录了从需求分析到最终实现的完整开发过程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包含技术选型、开发决策、问题解决等详细信息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适合希望复现或改进本项目的开发者参考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记录了从需求分析到最终实现的完整开发过程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3. API接口说明.md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腾讯元器平台API调用方法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请求格式、参数说明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认证方式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Socket.IO协议解析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腾讯元器平台API调用方法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4. 使用手册.md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智能体功能介绍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使用场景建议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常见问题解答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智能体功能介绍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5. 提示词.md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专业知识体系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回复风格规范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教育伦理与边界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关于大连艺术学院声乐教学特色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- 专业知识体系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技术架构</w:t>
      </w:r>
    </w:p>
    <w:p>
      <w:pPr>
        <w:spacing w:before="40" w:after="40"/>
        <w:ind w:left="280"/>
        <w:shd w:val="clear" w:color="auto" w:fill="F5F5F5"/>
      </w:pPr>
      <w:r>
        <w:rPr>
          <w:rFonts w:ascii="Courier New" w:hAnsi="Courier New" w:eastAsia="Courier New"/>
          <w:color w:val="24292E"/>
          <w:sz w:val="18"/>
        </w:rPr>
        <w:t>┌─────────────┐     HTTP/SSE      ┌──────────────────┐</w:t>
        <w:br/>
        <w:t>│  前端页面   │ ───────────────→ │  腾讯元器平台    │</w:t>
        <w:br/>
        <w:t>│  (HTML/CSS/ │ ←─────────────── │  (AI智能体服务)  │</w:t>
        <w:br/>
        <w:t>│   JavaScript)│   流式响应      │                  │</w:t>
        <w:br/>
        <w:t>└─────────────┘                  └──────────────────┘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复现指南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如需复现本项目，请按以下步骤操作：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步骤1：注册腾讯元器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1. 访问 https://yuanqi.tencent.com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2. 注册并登录账号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3. 创建新智能体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1. 访问 https://yuanqi.tencent.com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步骤2：配置智能体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1. 设置角色设定（参考开发日志中的提示词）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2. 上传知识库文档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3. 配置开场白和快捷问题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1. 设置角色设定（参考开发日志中的提示词）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步骤3：获取API密钥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1. 在智能体设置中获取 AppID 和 AppKey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2. 更新 index.html 中的配置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1. 在智能体设置中获取 AppID 和 AppKey</w:t>
      </w:r>
    </w:p>
    <w:p>
      <w:pPr>
        <w:spacing w:before="80" w:after="20"/>
      </w:pPr>
      <w:r>
        <w:rPr>
          <w:rFonts w:ascii="仿宋_GB2312" w:hAnsi="仿宋_GB2312" w:eastAsia="仿宋_GB2312"/>
          <w:b/>
          <w:sz w:val="24"/>
        </w:rPr>
        <w:t>步骤4：运行测试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1. 双击打开 index.html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2. 在浏览器控制台查看 API 调用日志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  <w:t>3. 如遇 CORS 问题，考虑使用代理服务器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1. 双击打开 index.html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开发信息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开发时间</w:t>
      </w:r>
      <w:r>
        <w:rPr>
          <w:rFonts w:ascii="微软雅黑" w:hAnsi="微软雅黑" w:eastAsia="微软雅黑"/>
          <w:b w:val="0"/>
          <w:sz w:val="24"/>
        </w:rPr>
        <w:t>：2026年4月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开发者</w:t>
      </w:r>
      <w:r>
        <w:rPr>
          <w:rFonts w:ascii="微软雅黑" w:hAnsi="微软雅黑" w:eastAsia="微软雅黑"/>
          <w:b w:val="0"/>
          <w:sz w:val="24"/>
        </w:rPr>
        <w:t>：赵明星（大连艺术学院）</w:t>
      </w:r>
    </w:p>
    <w:p>
      <w:pPr>
        <w:spacing w:before="0" w:after="20"/>
        <w:jc w:val="both"/>
        <w:ind w:left="420"/>
      </w:pPr>
      <w:r>
        <w:rPr>
          <w:rFonts w:ascii="微软雅黑" w:hAnsi="微软雅黑" w:eastAsia="微软雅黑"/>
          <w:b w:val="0"/>
          <w:sz w:val="24"/>
        </w:rPr>
      </w:r>
      <w:r>
        <w:rPr>
          <w:rFonts w:ascii="微软雅黑" w:hAnsi="微软雅黑" w:eastAsia="微软雅黑"/>
          <w:b/>
          <w:sz w:val="24"/>
        </w:rPr>
        <w:t>技术栈</w:t>
      </w:r>
      <w:r>
        <w:rPr>
          <w:rFonts w:ascii="微软雅黑" w:hAnsi="微软雅黑" w:eastAsia="微软雅黑"/>
          <w:b w:val="0"/>
          <w:sz w:val="24"/>
        </w:rPr>
        <w:t>：HTML5 + CSS3 + JavaScript + Socket.IO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 xml:space="preserve">- </w:t>
      </w:r>
      <w:r>
        <w:rPr>
          <w:rFonts w:ascii="微软雅黑" w:hAnsi="微软雅黑" w:eastAsia="微软雅黑"/>
          <w:b/>
          <w:sz w:val="24"/>
        </w:rPr>
        <w:t>开发时间</w:t>
      </w:r>
      <w:r>
        <w:rPr>
          <w:rFonts w:ascii="微软雅黑" w:hAnsi="微软雅黑" w:eastAsia="微软雅黑"/>
          <w:b w:val="0"/>
          <w:sz w:val="24"/>
        </w:rPr>
        <w:t>：2026年4月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许可证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本项目仅供教育研究使用。</w:t>
      </w:r>
    </w:p>
    <w:p>
      <w:pPr>
        <w:spacing w:before="120" w:after="40"/>
      </w:pPr>
      <w:r>
        <w:rPr>
          <w:rFonts w:ascii="楷体_GB2312" w:hAnsi="楷体_GB2312" w:eastAsia="楷体_GB2312"/>
          <w:b/>
          <w:sz w:val="26"/>
        </w:rPr>
        <w:t>联系方式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大连艺术学院 戏剧影视与传媒学院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表演基础教研室</w:t>
      </w:r>
    </w:p>
    <w:p>
      <w:pPr>
        <w:spacing w:before="0" w:after="50"/>
        <w:jc w:val="both"/>
      </w:pPr>
      <w:r>
        <w:rPr>
          <w:rFonts w:ascii="微软雅黑" w:hAnsi="微软雅黑" w:eastAsia="微软雅黑"/>
          <w:b w:val="0"/>
          <w:sz w:val="24"/>
        </w:rPr>
        <w:t>赵明星 18940881723</w:t>
      </w:r>
    </w:p>
    <w:sectPr w:rsidR="00FC693F" w:rsidRPr="0006063C" w:rsidSect="00034616">
      <w:pgSz w:w="12240" w:h="15840"/>
      <w:pgMar w:top="1440" w:right="1451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