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总则</w:t>
      </w:r>
    </w:p>
    <w:p>
      <w:r>
        <w:t>第一条 为加强商业银行资本监管，维护银行体系稳健运行，制定本办法。</w:t>
      </w:r>
    </w:p>
    <w:p>
      <w:r>
        <w:t>第二条 本办法适用于在中华人民共和国境内设立的商业银行。</w:t>
      </w:r>
    </w:p>
    <w:p>
      <w:pPr>
        <w:pStyle w:val="Heading1"/>
      </w:pPr>
      <w:r>
        <w:t>第二章 资本充足率要求</w:t>
      </w:r>
    </w:p>
    <w:p>
      <w:r>
        <w:t>第三条 商业银行核心一级资本充足率不得低于5%。</w:t>
      </w:r>
    </w:p>
    <w:p>
      <w:r>
        <w:t>第四条 商业银行一级资本充足率不得低于6%。</w:t>
      </w:r>
    </w:p>
    <w:p>
      <w:r>
        <w:t>第五条 商业银行资本充足率不得低于8%。</w:t>
      </w:r>
    </w:p>
    <w:p>
      <w:r>
        <w:t>第六条 商业银行杠杆率不得低于4%。</w:t>
      </w:r>
    </w:p>
    <w:p>
      <w:r>
        <w:t>第七条 系统重要性银行应当额外满足附加资本要求，附加资本要求为1%。</w:t>
      </w:r>
    </w:p>
    <w:p>
      <w:pPr>
        <w:pStyle w:val="Heading1"/>
      </w:pPr>
      <w:r>
        <w:t>第三章 风险加权资产计量</w:t>
      </w:r>
    </w:p>
    <w:p>
      <w:r>
        <w:t>第八条 商业银行应当采用权重法计量信用风险加权资产。</w:t>
      </w:r>
    </w:p>
    <w:p>
      <w:r>
        <w:t>第九条 对一般企业债权的风险权重为100%。</w:t>
      </w:r>
    </w:p>
    <w:p>
      <w:r>
        <w:t>第十条 对符合条件的微型和小型企业债权的风险权重为75%。</w:t>
      </w:r>
    </w:p>
    <w:p>
      <w:pPr>
        <w:pStyle w:val="Heading1"/>
      </w:pPr>
      <w:r>
        <w:t>第四章 监督检查</w:t>
      </w:r>
    </w:p>
    <w:p>
      <w:r>
        <w:t>第十一条 商业银行应当每年开展一次内部资本充足评估。</w:t>
      </w:r>
    </w:p>
    <w:p>
      <w:r>
        <w:t>第十二条 商业银行应当于每季度结束后30日内向监管机构报送资本充足率报表。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