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2C8D7C">
      <w:pPr>
        <w:rPr>
          <w:rFonts w:hint="eastAsia"/>
        </w:rPr>
      </w:pPr>
      <w:r>
        <w:rPr>
          <w:rFonts w:hint="eastAsia"/>
        </w:rPr>
        <w:t>\subsection*{GARQ captures rare cell states and resolves tumour-state transitions in kidney cancer multi-omics data}</w:t>
      </w:r>
    </w:p>
    <w:p w14:paraId="3B72BE0B">
      <w:pPr>
        <w:rPr>
          <w:rFonts w:hint="eastAsia"/>
        </w:rPr>
      </w:pPr>
    </w:p>
    <w:p w14:paraId="31897A2A">
      <w:pPr>
        <w:rPr>
          <w:rFonts w:hint="eastAsia"/>
        </w:rPr>
      </w:pPr>
      <w:r>
        <w:rPr>
          <w:rFonts w:hint="eastAsia"/>
        </w:rPr>
        <w:t>\renewcommand{\floatpagefraction}{.9}</w:t>
      </w:r>
    </w:p>
    <w:p w14:paraId="6DA92884">
      <w:pPr>
        <w:rPr>
          <w:rFonts w:hint="eastAsia"/>
        </w:rPr>
      </w:pPr>
      <w:r>
        <w:rPr>
          <w:rFonts w:hint="eastAsia"/>
        </w:rPr>
        <w:t xml:space="preserve">\begin{figure} </w:t>
      </w:r>
    </w:p>
    <w:p w14:paraId="71A23DD6">
      <w:pPr>
        <w:rPr>
          <w:rFonts w:hint="eastAsia"/>
        </w:rPr>
      </w:pPr>
      <w:r>
        <w:rPr>
          <w:rFonts w:hint="eastAsia"/>
        </w:rPr>
        <w:t>\centering</w:t>
      </w:r>
    </w:p>
    <w:p w14:paraId="3C36A1BA">
      <w:pPr>
        <w:rPr>
          <w:rFonts w:hint="eastAsia"/>
        </w:rPr>
      </w:pPr>
      <w:r>
        <w:rPr>
          <w:rFonts w:hint="eastAsia"/>
        </w:rPr>
        <w:t>\includegraphics[width=.9\linewidth]{Figures/kidney.pdf}</w:t>
      </w:r>
    </w:p>
    <w:p w14:paraId="393D66FB">
      <w:pPr>
        <w:rPr>
          <w:rFonts w:hint="eastAsia"/>
        </w:rPr>
      </w:pPr>
      <w:r>
        <w:rPr>
          <w:rFonts w:hint="eastAsia"/>
        </w:rPr>
        <w:t>\caption{| \textbf{\textcolor{red}{GARQ captures rare cell states and resolves tumour-state transitions with regulatory programme remodelling in human kidney cancer multi-omics data.}} \textbf{a} UMAPs of the RNA and ATAC modalities define the reference organization of annotated cell states in the kidney cancer dataset. \textbf{b} WNN-integrated projections of metacells inferred by GARQ and competing methods evaluate the extent to which each approach retains global multi-omic structure. Red annotations indicate rare or low-abundance cell states, highlighting whether these populations remain identifiable after aggregation. \textbf{c} Cell-type annotation and pseudotime inference for single cells and GARQ-derived metacells reveal a continuous transition linking Tumor Epithelial, Tumor Cells (Dedifferentiated), and Stressed Tumor (p53+) states. \textbf{d} A pseudotime-ordered heatmap highlights coordinated transcriptional rewiring across the inferred tumour-state continuum. \textbf{e} UCell-based pathway activity scores quantify trajectory-associated pathway remodelling along the inferred tumour-state continuum.}</w:t>
      </w:r>
    </w:p>
    <w:p w14:paraId="57C5E277">
      <w:pPr>
        <w:rPr>
          <w:rFonts w:hint="eastAsia"/>
        </w:rPr>
      </w:pPr>
      <w:r>
        <w:rPr>
          <w:rFonts w:hint="eastAsia"/>
        </w:rPr>
        <w:t>\label{fig:kidney}</w:t>
      </w:r>
    </w:p>
    <w:p w14:paraId="283927EB">
      <w:pPr>
        <w:rPr>
          <w:rFonts w:hint="eastAsia"/>
        </w:rPr>
      </w:pPr>
      <w:r>
        <w:rPr>
          <w:rFonts w:hint="eastAsia"/>
        </w:rPr>
        <w:t>\end{figure}</w:t>
      </w:r>
    </w:p>
    <w:p w14:paraId="45BA7422">
      <w:pPr>
        <w:rPr>
          <w:rFonts w:hint="eastAsia"/>
        </w:rPr>
      </w:pPr>
    </w:p>
    <w:p w14:paraId="3BB06E59">
      <w:pPr>
        <w:rPr>
          <w:rFonts w:hint="eastAsia"/>
        </w:rPr>
      </w:pPr>
      <w:r>
        <w:rPr>
          <w:rFonts w:hint="eastAsia"/>
        </w:rPr>
        <w:t>\textcolor{red}{In tumour multi-omics analysis, the value of consensus metacell inference lies not only in compressing large-scale data, but also in retaining biologically informative signals that are easily lost during aggregation, particularly rare or low-abundance cell states and continuous tumour-state transitions. A stringent benchmark is therefore whether metacell compression can preserve these features while remaining suitable for downstream trajectory- and programme-level analysis.} We evaluated GARQ in this setting using the human renal cell carcinoma multi-omics dataset `Human\_Kidney\_Cancer', comprising 16,143 cells with paired RNA and ATAC profiles. Clustering and manual annotation resolved 12 biologically relevant cell populations spanning tumour, epithelial, immune, and stromal compartments, \textcolor{red}{including low-abundance or rare states such as Mast Cells \cite{lake2023atlas}.} The RNA and ATAC UMAPs exhibited concordant global structure and clear separation of the major cell states (Fig.~\ref{fig:kidney}a), providing a reference landscape for assessing whether metacell aggregation retains both dominant structure and minority cell states.</w:t>
      </w:r>
    </w:p>
    <w:p w14:paraId="2847ED5A">
      <w:pPr>
        <w:rPr>
          <w:rFonts w:hint="eastAsia"/>
        </w:rPr>
      </w:pPr>
      <w:r>
        <w:rPr>
          <w:rFonts w:hint="eastAsia"/>
        </w:rPr>
        <w:t>\\ \hspace*{\fill} \\</w:t>
      </w:r>
    </w:p>
    <w:p w14:paraId="47605E7C">
      <w:pPr>
        <w:rPr>
          <w:rFonts w:hint="eastAsia"/>
        </w:rPr>
      </w:pPr>
      <w:r>
        <w:rPr>
          <w:rFonts w:hint="eastAsia"/>
        </w:rPr>
        <w:t>Against this benchmark, we first asked whether GARQ metacells retain cell identity with sufficient resolution to serve as reliable analytical units in a multi-omic setting. Confusion matrices comparing ground-truth annotations with majority-vote metacell labels showed that GARQ produced the clearest diagonal structure and achieved the highest balanced accuracy (61.80\%), exceeding MetaQ (58.78\%), SEACells (50.36\%), SuperCell (45.90\%), and MetaCell V2 (36.03\%) (Supplementary Fig.~3a). \textcolor{red}{Importantly, this advantage was not achieved by over-merging minority populations into larger tumour or stromal groups.} Rather, geometric summaries of the metacell embeddings showed that GARQ maintained a favourable balance between within-state compactness and between-state separation across both RNA and ATAC spaces (Supplementary Fig.~3b). These results indicate that GARQ-derived metacells remain coherent yet sufficiently resolved to support accurate identification of both dominant and low-abundance cell states.</w:t>
      </w:r>
    </w:p>
    <w:p w14:paraId="26070F7C">
      <w:pPr>
        <w:rPr>
          <w:rFonts w:hint="eastAsia"/>
        </w:rPr>
      </w:pPr>
      <w:r>
        <w:rPr>
          <w:rFonts w:hint="eastAsia"/>
        </w:rPr>
        <w:t>\\ \hspace*{\fill} \\</w:t>
      </w:r>
    </w:p>
    <w:p w14:paraId="56C0AF51">
      <w:pPr>
        <w:rPr>
          <w:rFonts w:hint="eastAsia"/>
        </w:rPr>
      </w:pPr>
      <w:r>
        <w:rPr>
          <w:rFonts w:hint="eastAsia"/>
        </w:rPr>
        <w:t>The structural consequence of this advantage became evident in the WNN-integrated manifold. Among all methods, GARQ most faithfully recapitulated the global organization of the original single-cell embedding while preserving clear boundaries between major cell populations in the renal cancer microenvironment (Fig.~\ref{fig:kidney}b). This advantage was evident for structurally fragile rare or low-abundance states. In particular, Mast Cells remained identifiable in the GARQ metacell space as a distinct population, whereas competing methods showed varying degrees of contraction, mixing, or disappearance of this state. MetaCell V2 further exhibited marked erosion of T-cell structure, reducing separation among biologically distinct populations. These observations show that GARQ does not merely smooth the data, but constructs metacells that retain the cellular composition, geometric hierarchy, and rare-state architecture of the underlying multi-omic landscape.</w:t>
      </w:r>
    </w:p>
    <w:p w14:paraId="71D744DC">
      <w:pPr>
        <w:rPr>
          <w:rFonts w:hint="eastAsia"/>
        </w:rPr>
      </w:pPr>
      <w:r>
        <w:rPr>
          <w:rFonts w:hint="eastAsia"/>
        </w:rPr>
        <w:t>\\ \hspace*{\fill} \\</w:t>
      </w:r>
    </w:p>
    <w:p w14:paraId="3A8CD958">
      <w:pPr>
        <w:rPr>
          <w:rFonts w:hint="eastAsia"/>
        </w:rPr>
      </w:pPr>
      <w:r>
        <w:rPr>
          <w:rFonts w:hint="eastAsia"/>
        </w:rPr>
        <w:t>A more rigorous test of metacell quality is whether the inferred aggregates remain suitable for continuous-state analysis. To address this, we focused on three tumour populations arranged along an apparent progression axis: Tumor Epithelial, Tumor Cells (Dedifferentiated), and Stressed Tumor (p53+) cells. Slingshot analysis \cite{street2018slingshot} applied to the original single-cell data recovered a continuous trajectory linking these states, and GARQ-derived metacells reproduced the same overall trajectory (Fig.~\ref{fig:kidney}c). Thus, GARQ retained not only discrete rare or minority states, but also the directional continuum connecting tumour-state transitions after compression. This feature is particularly important in the metacell setting, as it indicates that GARQ preserves the latent continuum of tumour cell plasticity rather than fragmenting or flattening it during aggregation.</w:t>
      </w:r>
    </w:p>
    <w:p w14:paraId="7AA2AB6A">
      <w:pPr>
        <w:rPr>
          <w:rFonts w:hint="eastAsia"/>
        </w:rPr>
      </w:pPr>
      <w:r>
        <w:rPr>
          <w:rFonts w:hint="eastAsia"/>
        </w:rPr>
        <w:t>\\ \hspace*{\fill} \\</w:t>
      </w:r>
    </w:p>
    <w:p w14:paraId="6EC8A9DC">
      <w:pPr>
        <w:rPr>
          <w:rFonts w:hint="eastAsia"/>
        </w:rPr>
      </w:pPr>
      <w:r>
        <w:rPr>
          <w:rFonts w:hint="eastAsia"/>
        </w:rPr>
        <w:t>The biological content of this trajectory further supported the fidelity of the GARQ metacell representation. Along pseudotime, early-state metacells were characterized by higher expression of antigen-presentation-associated genes, including \textit{B2M} and \textit{HLA-DRB1}, whereas late-state metacells showed coordinated induction of stress-responsive genes such as \textit{MDM2} and \textit{ZMAT3} (Fig.~\ref{fig:kidney}d), consistent with progressive engagement of a p53-associated stress programme \cite{haupt1997mdm2,peuget2024translating,liu2024understanding}. Pathway analysis further showed that cell-cycle associated activity increased along the trajectory, whereas p53 signalling and apoptosis reached their highest levels in the terminal Stressed Tumor (p53+) metacells (Fig.~\ref{fig:kidney}e) \cite{hongo2014cdk,saromatoid2020rcc,jci2024chRCC,ku2016tgase2}. Together, these results show that the value of GARQ extends beyond cell-type identification to the analysis of tumour-state transitions and their associated regulatory remodelling, while retaining rare and low-abundance cell states.</w:t>
      </w:r>
    </w:p>
    <w:p w14:paraId="14B5F734">
      <w:pPr>
        <w:rPr>
          <w:rFonts w:hint="eastAsia"/>
        </w:rPr>
      </w:pPr>
    </w:p>
    <w:p w14:paraId="3576A779">
      <w:pPr>
        <w:rPr>
          <w:rFonts w:hint="eastAsia"/>
        </w:rPr>
      </w:pPr>
      <w:r>
        <w:drawing>
          <wp:inline distT="0" distB="0" distL="114300" distR="114300">
            <wp:extent cx="5272405" cy="5166360"/>
            <wp:effectExtent l="0" t="0" r="4445"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2405" cy="5166360"/>
                    </a:xfrm>
                    <a:prstGeom prst="rect">
                      <a:avLst/>
                    </a:prstGeom>
                    <a:noFill/>
                    <a:ln>
                      <a:noFill/>
                    </a:ln>
                  </pic:spPr>
                </pic:pic>
              </a:graphicData>
            </a:graphic>
          </wp:inline>
        </w:drawing>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CBC24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2026-04-23T04:02:20Z</dcterms:created>
  <dc:creator>user</dc:creator>
  <cp:lastModifiedBy>王云鹤</cp:lastModifiedBy>
  <dcterms:modified xsi:type="dcterms:W3CDTF">2026-04-23T04:04:59Z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eyJoZGlkIjoiMWI4MjYzZTkzZGMxOWQ2MGM3MTYyNjVlYzgwNDgzM2IiLCJ1c2VySWQiOiIxNjI4ODg2NTY2In0=</vt:lpwstr>
  </property>
  <property fmtid="{D5CDD505-2E9C-101B-9397-08002B2CF9AE}" pid="4" name="ICV">
    <vt:lpwstr>5AA6AEF56FBA47ECB8BF98CFCA700B67_12</vt:lpwstr>
  </property>
</Properties>
</file>