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D78"/>
          <w:sz w:val="44"/>
        </w:rPr>
        <w:t>原主线论文证据审计报告</w:t>
      </w:r>
    </w:p>
    <w:p>
      <w:pPr>
        <w:spacing w:after="280"/>
        <w:jc w:val="center"/>
      </w:pPr>
      <w:r>
        <w:rPr>
          <w:rFonts w:ascii="Calibri" w:hAnsi="Calibri"/>
          <w:i/>
          <w:color w:val="666666"/>
          <w:sz w:val="22"/>
        </w:rPr>
        <w:t>ACL 2027 | Historical skill inheritance, typed priors, sparse validation and continual routing</w:t>
      </w:r>
    </w:p>
    <w:p>
      <w:r>
        <w:t>本报告的目的不是把所有实验包装成正结果，而是逐阶段说明原主线试图证明什么、实际证明了什么，以及哪些主张仍然缺乏证据。</w:t>
      </w:r>
    </w:p>
    <w:p>
      <w:pPr>
        <w:pStyle w:val="Heading1"/>
      </w:pPr>
      <w:r>
        <w:t>一、原始研究问题与机制链</w:t>
      </w:r>
    </w:p>
    <w:p>
      <w:r>
        <w:t>原主线研究：Agent 能否从历史成功轨迹中抽取 skill，通过 typed/scoped prior 和 sparse validation，在后续任务中提升 continual routing reliability 与 token efficiency？</w:t>
      </w:r>
    </w:p>
    <w:p>
      <w:r>
        <w:t>机制链：历史成功轨迹 -&gt; skill candidate -&gt; typed/scoped prior -&gt; sparse validation -&gt; accept / reject / abstain -&gt; downstream routing。</w:t>
      </w:r>
    </w:p>
    <w:p>
      <w:pPr>
        <w:pStyle w:val="Heading1"/>
      </w:pPr>
      <w:r>
        <w:t>二、阶段性实验路线</w:t>
      </w:r>
    </w:p>
    <w:p>
      <w:pPr>
        <w:pStyle w:val="Heading2"/>
      </w:pPr>
      <w:r>
        <w:t>2.1 Phase 0：受控机制验证</w:t>
      </w:r>
    </w:p>
    <w:p>
      <w:r>
        <w:t>Phase 0 在受控或合成环境中操纵 skill identity、scope、prior 类型、probe 代表性和 candidate retention。它支持 identity、scope 和 retention policy 会影响后续行为，并支持 accept/reject/abstain 的操作语义。</w:t>
      </w:r>
    </w:p>
    <w:p>
      <w:r>
        <w:t>证据边界：Phase 0 证明的是机制可行性，不是机制在真实模型和真实任务上的普遍性能收益。</w:t>
      </w:r>
    </w:p>
    <w:p>
      <w:pPr>
        <w:pStyle w:val="Heading2"/>
      </w:pPr>
      <w:r>
        <w:t>2.2 Phase 1：真实模型能力底座</w:t>
      </w:r>
    </w:p>
    <w:p>
      <w:r>
        <w:t>Phase 1S 完成 192 次开发调用，仅 6 次精确成功；candidate 分支为 2/96，fresh fallback 为 4/96，representative panel 为 0/96，shifted panel 为 6/96。</w:t>
      </w:r>
    </w:p>
    <w:p>
      <w:r>
        <w:t>解释：历史经验继承存在能力前置条件。若模型不能稳定地产生可验证成功，就没有可靠 skill 可继承。该结果削弱了乐观假设，但没有单独证明 prior 机制无效。</w:t>
      </w:r>
    </w:p>
    <w:p>
      <w:pPr>
        <w:pStyle w:val="Heading2"/>
      </w:pPr>
      <w:r>
        <w:t>2.3 Phase 2：真实 typed prior 与 routing</w:t>
      </w:r>
    </w:p>
    <w:p>
      <w:r>
        <w:t>Phase 2 比较 cold、global-only、contextual typed、shuffled 和 incompatible control。coverage incomplete、terminal stop、transport mismatch 和身份不可识别使多个冻结 gate 未通过。</w:t>
      </w:r>
    </w:p>
    <w:p>
      <w:r>
        <w:t>解释：真实任务中的 prior 效果很容易被模型能力、协议和 payload 可识别性掩盖；没有建立稳定的 typed-prior 因果优势。</w:t>
      </w:r>
    </w:p>
    <w:p>
      <w:pPr>
        <w:pStyle w:val="Heading2"/>
      </w:pPr>
      <w:r>
        <w:t>2.4 Phase 3：selector uptake 与 answer grounding</w:t>
      </w:r>
    </w:p>
    <w:p>
      <w:r>
        <w:t>Phase 3 将 skill selection 与最终答案分离。Phase 3H 的 contextual target-answer rate 为 0.825，incompatible-control counterfactual-answer rate 为 0.475，paired target-to-counterfactual grounding 为 0.425，冻结 gate 未通过。</w:t>
      </w:r>
    </w:p>
    <w:p>
      <w:r>
        <w:t>核心发现：selected skill 不等于 executed skill，也不等于 grounded answer。</w:t>
      </w:r>
    </w:p>
    <w:p>
      <w:pPr>
        <w:pStyle w:val="Heading2"/>
      </w:pPr>
      <w:r>
        <w:t>2.5 Phase 4：协议和传输修复</w:t>
      </w:r>
    </w:p>
    <w:p>
      <w:r>
        <w:t>Phase 4 发现 response contract 没有真正进入模型消息、evidence ID 不可见、部分 global-only/contextual typed payload 完全相同。修复后 development contract gate 通过，但 held-out 仍未产生稳定 typed-prior 优势。</w:t>
      </w:r>
    </w:p>
    <w:p>
      <w:pPr>
        <w:pStyle w:val="Heading2"/>
      </w:pPr>
      <w:r>
        <w:t>2.6 Phase 5：admission、abstention 与 grounding</w:t>
      </w:r>
    </w:p>
    <w:p>
      <w:r>
        <w:t>Phase 5 完成 240 行，条件为 cold、always-use typed、evidence-grounded admission、shuffled typed、incompatible control 和 evidence abstain。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500"/>
        <w:gridCol w:w="18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答案正确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Evidence resolving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39/40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34/40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cold 并非必然失败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always-use typed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40/40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33/40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typed prior 可有效，但 grounding 不稳定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admission typed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39/40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33/40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未超过 always-use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shuffled typed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32/40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35/40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格式和证据不等于正确执行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incompatible control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0/40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35/40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不相容 prior 可污染答案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abstain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38/40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33/40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abstention 与答案正确不完全一致</w:t>
            </w:r>
          </w:p>
        </w:tc>
      </w:tr>
    </w:tbl>
    <w:p>
      <w:pPr>
        <w:spacing w:after="40"/>
      </w:pPr>
    </w:p>
    <w:p>
      <w:r>
        <w:t>总体：contract-valid 240/240，evidence resolving 203/240，answer correct 188/240，selected skill match 198/240，admission match 145/240。</w:t>
      </w:r>
    </w:p>
    <w:p>
      <w:pPr>
        <w:pStyle w:val="Heading1"/>
      </w:pPr>
      <w:r>
        <w:t>三、证据审计：已经证明什么</w:t>
      </w:r>
    </w:p>
    <w:p>
      <w:pPr>
        <w:pStyle w:val="ListNumber"/>
        <w:spacing w:after="80"/>
      </w:pPr>
      <w:r>
        <w:t>历史经验必须带有 identity 和 scope。</w:t>
      </w:r>
    </w:p>
    <w:p>
      <w:pPr>
        <w:pStyle w:val="ListNumber"/>
        <w:spacing w:after="80"/>
      </w:pPr>
      <w:r>
        <w:t>不相容 prior 可能系统性污染答案；Phase 5 incompatible control 为 0/40。</w:t>
      </w:r>
    </w:p>
    <w:p>
      <w:pPr>
        <w:pStyle w:val="ListNumber"/>
        <w:spacing w:after="80"/>
      </w:pPr>
      <w:r>
        <w:t>skill selection 不等于 skill execution。</w:t>
      </w:r>
    </w:p>
    <w:p>
      <w:pPr>
        <w:pStyle w:val="ListNumber"/>
        <w:spacing w:after="80"/>
      </w:pPr>
      <w:r>
        <w:t>contract-valid 不等于 evidence-grounded。</w:t>
      </w:r>
    </w:p>
    <w:p>
      <w:pPr>
        <w:pStyle w:val="ListNumber"/>
        <w:spacing w:after="80"/>
      </w:pPr>
      <w:r>
        <w:t>可靠经验继承依赖模型先产生足够可靠的成功。</w:t>
      </w:r>
    </w:p>
    <w:p>
      <w:pPr>
        <w:pStyle w:val="ListNumber"/>
        <w:spacing w:after="80"/>
      </w:pPr>
      <w:r>
        <w:t>candidate retention 和 abstention 在受控环境中具有合理语义。</w:t>
      </w:r>
    </w:p>
    <w:p>
      <w:pPr>
        <w:pStyle w:val="ListNumber"/>
        <w:spacing w:after="80"/>
      </w:pPr>
      <w:r>
        <w:t>经验复用必须加入 answer-level validation。</w:t>
      </w:r>
    </w:p>
    <w:p>
      <w:pPr>
        <w:pStyle w:val="Heading1"/>
      </w:pPr>
      <w:r>
        <w:t>四、证据审计：没有证明什么</w:t>
      </w:r>
    </w:p>
    <w:p>
      <w:pPr>
        <w:pStyle w:val="ListBullet"/>
        <w:spacing w:after="80"/>
      </w:pPr>
      <w:r>
        <w:t>typed prior 普遍提高真实任务准确率。</w:t>
      </w:r>
    </w:p>
    <w:p>
      <w:pPr>
        <w:pStyle w:val="ListBullet"/>
        <w:spacing w:after="80"/>
      </w:pPr>
      <w:r>
        <w:t>evidence-grounded admission 优于 always-use typed。</w:t>
      </w:r>
    </w:p>
    <w:p>
      <w:pPr>
        <w:pStyle w:val="ListBullet"/>
        <w:spacing w:after="80"/>
      </w:pPr>
      <w:r>
        <w:t>sparse probe 能代表 downstream distribution。</w:t>
      </w:r>
    </w:p>
    <w:p>
      <w:pPr>
        <w:pStyle w:val="ListBullet"/>
        <w:spacing w:after="80"/>
      </w:pPr>
      <w:r>
        <w:t>triage 在真实部署中降低 harmful deployment。</w:t>
      </w:r>
    </w:p>
    <w:p>
      <w:pPr>
        <w:pStyle w:val="ListBullet"/>
        <w:spacing w:after="80"/>
      </w:pPr>
      <w:r>
        <w:t>continual routing reliability 或 token efficiency 提升。</w:t>
      </w:r>
    </w:p>
    <w:p>
      <w:pPr>
        <w:pStyle w:val="ListBullet"/>
        <w:spacing w:after="80"/>
      </w:pPr>
      <w:r>
        <w:t>跨模型、跨任务、跨领域泛化成立。</w:t>
      </w:r>
    </w:p>
    <w:p>
      <w:pPr>
        <w:pStyle w:val="ListBullet"/>
        <w:spacing w:after="80"/>
      </w:pPr>
      <w:r>
        <w:t>历史经验复用已经成为稳定的现实 agent 性能来源。</w:t>
      </w:r>
    </w:p>
    <w:p>
      <w:pPr>
        <w:pStyle w:val="Heading1"/>
      </w:pPr>
      <w:r>
        <w:t>五、原主线的结论等级</w:t>
      </w:r>
    </w:p>
    <w:p>
      <w:r>
        <w:t>原命题“Historical experience improves continual agent routing”目前只能算部分支持。更严谨的结论是：受控实验支持 identity、scope 和 retention 机制；真实实验尚未建立稳定收益，但清楚暴露了不相容 prior、selector-grounding gap 和 evidence resolution failure。</w:t>
      </w:r>
    </w:p>
    <w:p>
      <w:pPr>
        <w:pStyle w:val="Heading1"/>
      </w:pPr>
      <w:r>
        <w:t>六、对原论文的处理建议</w:t>
      </w:r>
    </w:p>
    <w:p>
      <w:r>
        <w:t>原论文不应把所有 protocol readiness 或描述性差异写成方法优越性。若保留原主题，应将主张降级为：历史经验复用的机制条件已被识别，但真实部署收益尚未建立。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ACL 2027 research direction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