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40" w:lineRule="auto"/>
      </w:pPr>
      <w:r>
        <w:rPr>
          <w:rFonts w:ascii="Calibri" w:hAnsi="Calibri" w:eastAsia="Microsoft YaHei"/>
          <w:b/>
          <w:i w:val="0"/>
          <w:color w:val="0B2545"/>
          <w:sz w:val="46"/>
        </w:rPr>
        <w:t>ACL 2027 实验阶段性总结与研究方向调整报告</w:t>
      </w:r>
    </w:p>
    <w:p>
      <w:pPr>
        <w:spacing w:before="0" w:after="240" w:line="240" w:lineRule="auto"/>
      </w:pPr>
      <w:r>
        <w:rPr>
          <w:rFonts w:ascii="Calibri" w:hAnsi="Calibri" w:eastAsia="Microsoft YaHei"/>
          <w:b w:val="0"/>
          <w:i w:val="0"/>
          <w:color w:val="5B6573"/>
          <w:sz w:val="26"/>
        </w:rPr>
        <w:t>——从“typed prior 是否直接提升效果”转向“activation–grounding–utility gap”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汇报对象：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导师阶段性沟通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项目：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SummerSkillOpt / ACL 2027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报告日期：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2026年8月20日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当前状态：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Phase 4C-R1 已完成闭环；后续 provider 调用关闭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先说结论：</w:t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22"/>
              </w:rPr>
              <w:t>目前实验结果不支持把“历史 skill prior 能稳定提升真实任务最终答案”作为论文主结论。比较稳定的证据是：prior 可以被模型激活，合同和证据 ID 可以被修复，但“被采用”不自动等于可验证的中间操作，更不稳定地等于最终答案收益。因此，下一阶段应转向 activation、grounding 和 utility 的分解，并提出 prior admission / abstention 方法。</w:t>
            </w:r>
          </w:p>
        </w:tc>
      </w:tr>
    </w:tbl>
    <w:p>
      <w:pPr>
        <w:spacing w:after="2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1. 报告目的与当前判断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这份报告不是把已有结果包装成“已经证明了原假设”，而是给出一个可以和老师直接讨论的阶段性判断：协议、合同、证据 ID、held-out 运行和审计链条已经做得比较完整，但原始主效应没有被稳定识别出来。继续重复同类请求，最多增加样本，不能自动修复研究问题本身。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项目仓库当前记录为 51 个阶段、6206 个不可变运行，当前阶段为 Phase 4C-R1。按照项目协议，已完成运行和账本保持不可变，provider/API 调用处于关闭状态。本报告只做研究总结和下一阶段设计，不启动新的外部实验。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2. 原始研究假设：一开始想证明什么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原始主张可以概括为：如果历史成功经验被整理成 typed / scoped skill priors，并在持续学习或路由过程中提供给模型，那么这些 prior 应稳定提高真实任务的可靠性、答案正确率或单位 token 效率。这个主张隐含了多个前提：模型会看到 prior；会采用正确 prior；采用后会改变正确的中间操作；中间操作会传递到最终答案；收益不是来自额外上下文、提示格式或任务难度差异。前几轮实验说明，这些前提不能继续被当成一个黑箱。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3. 已完成实验与主要结果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3.1 Phase 2：真实任务效果没有形成稳定证据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Phase 2 的 typed-prior gate 总体为 inconclusive，v25 replication 给出负结果。我们没有得到足够稳定、可以支撑“typed prior 在真实任务上普遍有效”的结果。这不等于 prior 一定无效，而是说明原始主效应在当前任务、协议和样本下没有被可靠识别。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3.2 Phase 3：模型会采用 prior，但 activation 不等于 utility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Phase 3B 支持机制层面的采用：contextual typed bundle 能被模型识别和采用。但 Phase 3C、3F 显示，采用并不稳定转化为中间操作，更不稳定地改变最终答案。最值得保留的洞见是：activation 与 utility 之间存在断层。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阶段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主要观察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可以支持的表述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Phase 2</w:t>
            </w:r>
          </w:p>
        </w:tc>
        <w:tc>
          <w:tcPr>
            <w:tcW w:type="dxa" w:w="3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真实任务 gate inconclusive；replication 为负</w:t>
            </w:r>
          </w:p>
        </w:tc>
        <w:tc>
          <w:tcPr>
            <w:tcW w:type="dxa" w:w="39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不能宣称稳定的 typed-prior 主效应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Phase 3B</w:t>
            </w:r>
          </w:p>
        </w:tc>
        <w:tc>
          <w:tcPr>
            <w:tcW w:type="dxa" w:w="3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contextual typed bundle 采用率明显</w:t>
            </w:r>
          </w:p>
        </w:tc>
        <w:tc>
          <w:tcPr>
            <w:tcW w:type="dxa" w:w="39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prior activation 机制存在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Phase 3C/3F</w:t>
            </w:r>
          </w:p>
        </w:tc>
        <w:tc>
          <w:tcPr>
            <w:tcW w:type="dxa" w:w="3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操作变化多于答案变化；中介 gate inconclusive</w:t>
            </w:r>
          </w:p>
        </w:tc>
        <w:tc>
          <w:tcPr>
            <w:tcW w:type="dxa" w:w="39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activation 不等于 grounding / utility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Phase 3H</w:t>
            </w:r>
          </w:p>
        </w:tc>
        <w:tc>
          <w:tcPr>
            <w:tcW w:type="dxa" w:w="39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答案 grounding gate inconclusive</w:t>
            </w:r>
          </w:p>
        </w:tc>
        <w:tc>
          <w:tcPr>
            <w:tcW w:type="dxa" w:w="39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需要直接测量 prior 是否改变可验证答案依据</w:t>
            </w:r>
          </w:p>
        </w:tc>
      </w:tr>
    </w:tbl>
    <w:p>
      <w:pPr>
        <w:spacing w:after="20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3.3 Phase 4B：修复的是可见性与协议，不是因果收益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Phase 4B 发现，原先 provider 没有看到完整六字段合同，evidence ID 也没有真正进入模型可见消息。修复后，合同和 evidence ID 可见性改善，100 行 calibration 全部 contract-valid 且 evidence-ID resolving，contextual selection 为 1.0。这个结果证明的是“协议和传输可以修好”，不是“typed prior 已经带来因果收益”。另外，global_only 与 contextual_typed 的 20 对 payload 仍 transport-identical，不能用来做有效条件比较。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3.4 Phase 4C：技术执行基本通过，但覆盖不足以给出正式 gate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Phase 4C-R1 修复了 held-out 设计：80 个任务、400 行、5 个条件，每行嵌入六字段合同并标注 evidence ID，400 个 transport payload 唯一，且与已花费 Phase 4B 身份不重叠。实际启动 396 次，完成 395 条响应，1 次 terminal hard-stop；缺失 5 行全部属于同一个 task。已知阶段成本 CNY 2.992020，总 token 1,196,202，retries 为 0，pacing 与 hash-chain 审计通过，授权自动关闭。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1500"/>
        <w:gridCol w:w="35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条件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正确数 / 计分数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准确率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合同有效 / evidence ID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cold</w:t>
            </w:r>
          </w:p>
        </w:tc>
        <w:tc>
          <w:tcPr>
            <w:tcW w:type="dxa" w:w="21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73 / 79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92.41%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79 / 79；79 / 79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global_only</w:t>
            </w:r>
          </w:p>
        </w:tc>
        <w:tc>
          <w:tcPr>
            <w:tcW w:type="dxa" w:w="21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78 / 79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98.73%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79 / 79；79 / 79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contextual_typed</w:t>
            </w:r>
          </w:p>
        </w:tc>
        <w:tc>
          <w:tcPr>
            <w:tcW w:type="dxa" w:w="21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78 / 79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98.73%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79 / 79；79 / 79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shuffled_typed</w:t>
            </w:r>
          </w:p>
        </w:tc>
        <w:tc>
          <w:tcPr>
            <w:tcW w:type="dxa" w:w="21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78 / 79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98.73%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79 / 79；79 / 79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incompatible_control</w:t>
            </w:r>
          </w:p>
        </w:tc>
        <w:tc>
          <w:tcPr>
            <w:tcW w:type="dxa" w:w="21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76 / 79</w:t>
            </w:r>
          </w:p>
        </w:tc>
        <w:tc>
          <w:tcPr>
            <w:tcW w:type="dxa" w:w="15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96.20%</w:t>
            </w:r>
          </w:p>
        </w:tc>
        <w:tc>
          <w:tcPr>
            <w:tcW w:type="dxa" w:w="35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79 / 79；79 / 79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这些数字只能做描述性诊断，不能写成 400 行 frozen gate 的正式正面或负面结论：400 行覆盖没有完成；累计成本账本此前存在需要修正的历史 Phase 4B 成本带入问题。因此旧 ledger、closure 和 terminal attempt 必须保持不可变，不能简单“把上限调高后继续跑”。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3.5 Phase 4C paired diagnostic：差异很小，且没有回答因果问题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在 79 个完整 task grid 上，contextual_typed 与 global_only 是 0 wins、0 losses、79 ties，0 个 answer changes；与 cold 比是 5 wins、0 losses、74 ties，6 个 answer changes；与 incompatible_control 比是 2 wins、0 losses、77 ties，3 个 answer changes。即使出现少量差异，也不足以说明 typed prior 本身造成了差异。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4. 当前最重要的阶段性发现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2"/>
              </w:rPr>
              <w:t>核心发现：</w:t>
            </w:r>
            <w:r>
              <w:rPr>
                <w:rFonts w:ascii="Calibri" w:hAnsi="Calibri" w:eastAsia="Microsoft YaHei"/>
                <w:b w:val="0"/>
                <w:i w:val="0"/>
                <w:color w:val="7A5A00"/>
                <w:sz w:val="22"/>
              </w:rPr>
              <w:t>目前最可信的不是“prior 有效”或“prior 无效”，而是：prior 的 activation、evidence grounding 和最终 utility 是三个不同环节；前一个环节通过，不代表后两个环节会自动通过。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这也解释了为什么会出现“模型明明用了 prior，但答案没有明显变好”：模型可以在语言层面复述、引用或选择一个 prior，同时仍然没有把它接到正确的实体、关系、计算或证据链上。若论文只报告“是否采用 prior”，就会把机制信号误读成任务收益。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5. 为什么需要调整论文方向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继续沿原方向堆更多 API 调用，最大的风险不是成本，而是科学问题没有变清楚。即使再跑一批，看到平均准确率轻微波动，仍很难回答收益来自 prior 内容、提示长度、合同修复、模型随机性，还是任务本身可解性。ACL 审稿人很可能会把它看成“合理但证据边界模糊的框架”。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因此方向调整不是把负结果改写成正结果，而是把已有失败和不确定性转化成新问题：什么时候允许一个 prior 进入上下文？什么时候要求它先通过 evidence-grounded admission？什么时候模型应该 abstain 或 fallback，而不是强行使用看起来相关的历史经验？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原方向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调整后的方向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证明 typed/scoped prior 平均提升最终答案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解释 activation–grounding–utility 三段链路为何脱钩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默认 prior 应被使用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prior 经过 admission；无法改变可验证中间结果时降权或拒绝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主要指标是最终 accuracy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同时测 activation、grounding、answer change、utility 与 abstention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继续增加同类 provider 请求</w:t>
            </w:r>
          </w:p>
        </w:tc>
        <w:tc>
          <w:tcPr>
            <w:tcW w:type="dxa" w:w="468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先做零网络设计、反事实任务和停止条件，再决定是否执行</w:t>
            </w:r>
          </w:p>
        </w:tc>
      </w:tr>
    </w:tbl>
    <w:p>
      <w:pPr>
        <w:spacing w:after="2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6. 新研究主线：activation–grounding–utility gap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新的工作假设是：skill priors 可能可靠地被模型激活，但 activation 只有在被正确 grounding 到任务证据和可验证中间操作之后，才可能转化为 utility；因此，可靠 continual system 需要显式的 prior admission、grounding 检查和 abstention / fallback 机制。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6.1 三个可分离的测量层</w:t>
      </w:r>
    </w:p>
    <w:p>
      <w:pPr>
        <w:pStyle w:val="ListBullet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Activation：模型是否选中了 prior、是否识别出适用范围、是否拒绝明显不相关 prior。</w:t>
      </w:r>
    </w:p>
    <w:p>
      <w:pPr>
        <w:pStyle w:val="ListBullet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Grounding：prior 是否改变可验证的实体、属性、桥接关系、计算步骤或证据引用，而不是只改变表面措辞。</w:t>
      </w:r>
    </w:p>
    <w:p>
      <w:pPr>
        <w:pStyle w:val="ListBullet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Utility：grounding 后是否提高最终答案正确率、减少错误、降低 token 成本，或在不确定时更早 abstain。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6.2 方法贡献的候选形态</w:t>
      </w:r>
    </w:p>
    <w:p>
      <w:pPr>
        <w:pStyle w:val="ListBullet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Prior admission：把 prior 放进主上下文前，先检查任务类型、适用范围、证据 ID 和反事实可用性。</w:t>
      </w:r>
    </w:p>
    <w:p>
      <w:pPr>
        <w:pStyle w:val="ListBullet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Evidence-grounded selection：要求 prior 绑定可解析证据片段，并输出可审计中间操作。</w:t>
      </w:r>
    </w:p>
    <w:p>
      <w:pPr>
        <w:pStyle w:val="ListBullet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Abstention / fallback：当 prior 无法改变或支持可验证中间结果时，自动降权、拒绝或回退到 cold / global-only。</w:t>
      </w:r>
    </w:p>
    <w:p>
      <w:pPr>
        <w:pStyle w:val="ListBullet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Counterfactual evaluation：构造“使用 prior 应该改变答案”的任务，避免只测到表面采用。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7. 下一阶段拟解决的问题</w:t>
      </w:r>
    </w:p>
    <w:p>
      <w:pPr>
        <w:pStyle w:val="ListNumber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把 prior admission 定义成明确决策问题：输入是任务、候选 prior 和证据；输出是 admit、abstain 或 fallback。</w:t>
      </w:r>
    </w:p>
    <w:p>
      <w:pPr>
        <w:pStyle w:val="ListNumber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为每个任务预注册 answer-sensitive 中间变量，例如实体桥接、属性比较、数值计算或证据支持关系。</w:t>
      </w:r>
    </w:p>
    <w:p>
      <w:pPr>
        <w:pStyle w:val="ListNumber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设置 no prior、always-use prior、random / shuffled prior、wrong / incompatible prior 等基线，再与新 admission 方法比较。</w:t>
      </w:r>
    </w:p>
    <w:p>
      <w:pPr>
        <w:pStyle w:val="ListNumber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把“操作变化但答案不变”单独作为 failure mode 统计，而不是混入总体 accuracy。</w:t>
      </w:r>
    </w:p>
    <w:p>
      <w:pPr>
        <w:pStyle w:val="ListNumber"/>
        <w:spacing w:before="0" w:after="100" w:line="28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先做零网络 preflight，检查条件是否 transport-distinct、证据是否真正可见、任务是否能产生反事实答案变化。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8. 后续实验计划与停止条件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2700"/>
        <w:gridCol w:w="21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目标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关键产物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停止条件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A. 设计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冻结 admission / abstention 任务与反事实标签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零网络 schedule、fingerprint、分析计划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条件不可识别或答案不敏感则重设计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B. 本地审计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验证合同、evidence、payload distinctness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preflight report、hash-chain 检查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任一审计失败，不进入 live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C. 小规模校准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验证协议和基本可解性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有限授权校准分析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contract / capability gate 不通过则终止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D. held-out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比较 always-use 与 admission / abstention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成对 task-grid 分析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首个失败、预算或覆盖条件触发即闭环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2"/>
              </w:rPr>
              <w:t>项目纪律：</w:t>
            </w:r>
            <w:r>
              <w:rPr>
                <w:rFonts w:ascii="Calibri" w:hAnsi="Calibri" w:eastAsia="Microsoft YaHei"/>
                <w:b w:val="0"/>
                <w:i w:val="0"/>
                <w:color w:val="9B1C1C"/>
                <w:sz w:val="22"/>
              </w:rPr>
              <w:t>下一阶段不以“多跑一些请求”为默认动作。任何新 provider 调用都必须有独立 zero-network preflight、新 fingerprint、明确预算和新的精确授权；已完成 ledger、closure、terminal attempt 和成本记录不回写、不覆盖。</w:t>
            </w:r>
          </w:p>
        </w:tc>
      </w:tr>
    </w:tbl>
    <w:p>
      <w:pPr>
        <w:spacing w:after="2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9. 风险与预期贡献边界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新方法可能仍只改善 abstention 或中间操作，而不显著提高平均 accuracy；有些任务也许本身对 prior 不敏感；模型还可能学会“看起来 grounding”但无法完成真正关系推理。因此论文不应承诺普遍 accuracy 增益，而应聚焦于更可靠的诊断与控制：识别 activation–utility gap，给出可复现 admission / abstention 机制，并说明它什么时候有效、什么时候应该拒绝 prior。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如果后续仍没有正面的最终答案收益，只要失配模式被稳定复现，并且 admission 能减少错误使用 prior 或降低无效上下文成本，仍可形成一篇逻辑完整的分析型方法论文。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10. 给导师的口头总结（可直接照着说）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2"/>
              </w:rPr>
              <w:t>口头版：</w:t>
            </w:r>
            <w:r>
              <w:rPr>
                <w:rFonts w:ascii="Calibri" w:hAnsi="Calibri" w:eastAsia="Microsoft YaHei"/>
                <w:b w:val="0"/>
                <w:i w:val="0"/>
                <w:color w:val="0B2545"/>
                <w:sz w:val="22"/>
              </w:rPr>
              <w:t>老师，我们前面几轮实验把协议和运行链条做扎实了，但结果没有支持最初那个强主张：不能说 typed historical prior 能稳定提升真实任务最终答案。Phase 3 反而给了更清楚的信号——模型会采用 prior，但采用不等于它接到了正确证据和中间推理上。Phase 4B/4C 又说明，合同和 evidence 可见性可以修复，但修复协议也不等于因果收益。所以下一步不再重点堆 API 请求，而是研究 activation–grounding–utility gap，做 prior admission、evidence-grounded selection 和 abstention/fallback。这样论文贡献会从“一个框架平均有效”转向“解释什么时候 prior 真正有用，以及什么时候应该拒绝它”。</w:t>
            </w:r>
          </w:p>
        </w:tc>
      </w:tr>
    </w:tbl>
    <w:p>
      <w:pPr>
        <w:spacing w:after="2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附录：本报告引用的关键状态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实验状态来源：paper/acl2027/experiment_state.json 与 paper/acl2027/CROSS_CONVERSATION_PROTOCOL.md。Phase 4C 描述性分析来源：artifacts/acl2027_phase4c_repaired_heldout_live_v2/phase4c_analysis_v2.json。报告生成日期：2026年8月20日。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5B6573"/>
        <w:sz w:val="18"/>
      </w:rPr>
      <w:t>SummerSkillOpt · 2026年8月20日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5B6573"/>
        <w:sz w:val="18"/>
      </w:rPr>
      <w:t>ACL 2027 实验阶段性汇报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