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2F49"/>
          <w:sz w:val="36"/>
        </w:rPr>
        <w:t>Data Availability Statement</w:t>
      </w:r>
    </w:p>
    <w:p/>
    <w:p>
      <w:pPr>
        <w:jc w:val="both"/>
      </w:pPr>
      <w:r>
        <w:t>The evaluation uses synthetic transaction graphs generated by the accompanying scripts, public institutional statistics cited in the manuscript, and archived U.S. Treasury Office of Foreign Assets Control list inputs included in the reproducibility artifact. Machine-readable result tables, configuration files, random seeds and provenance notes are supplied in the artifact.</w:t>
      </w:r>
    </w:p>
    <w:p>
      <w:pPr>
        <w:jc w:val="both"/>
      </w:pPr>
      <w:r>
        <w:t>No confidential bank, household, customer, investigator or financial-intelligence data were used. National deployment and effectiveness claims require governed institutional datasets that are not part of this study.</w:t>
      </w:r>
    </w:p>
    <w:p>
      <w:pPr>
        <w:jc w:val="both"/>
      </w:pPr>
      <w:r>
        <w:t>The public sanctions inputs remain subject to the originating authority’s terms and should be refreshed from the official source before replication or operational use.</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Composable Assurance for Sovereign Digital Currency | Submission material | 6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12F4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4E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12F4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Availability Statement</dc:title>
  <dc:subject/>
  <dc:creator>Md Zubaer Mahmood Zubraj</dc:creator>
  <cp:keywords/>
  <dc:description>generated by python-docx</dc:description>
  <cp:lastModifiedBy>Md Zubaer Mahmood Zubraj</cp:lastModifiedBy>
  <cp:revision>1</cp:revision>
  <dcterms:created xsi:type="dcterms:W3CDTF">2013-12-23T23:15:00Z</dcterms:created>
  <dcterms:modified xsi:type="dcterms:W3CDTF">2013-12-23T23:15:00Z</dcterms:modified>
  <cp:category/>
</cp:coreProperties>
</file>