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F49"/>
          <w:sz w:val="36"/>
        </w:rPr>
        <w:t>Ethics and Data Governance</w:t>
      </w:r>
    </w:p>
    <w:p/>
    <w:p>
      <w:pPr>
        <w:pStyle w:val="Heading1"/>
      </w:pPr>
      <w:r>
        <w:t>Current study</w:t>
      </w:r>
    </w:p>
    <w:p>
      <w:pPr>
        <w:jc w:val="both"/>
      </w:pPr>
      <w:r>
        <w:t>The reported privacy and AML/CFT studies use synthetic data. The sanctions benchmark uses public official-list records and generated test identities. The economic and capacity analyses use public aggregate information and simulated scenarios. The study did not recruit human participants, access private customer records, intervene in clinical or social settings, or process confidential bank data.</w:t>
      </w:r>
    </w:p>
    <w:p>
      <w:pPr>
        <w:pStyle w:val="Heading1"/>
      </w:pPr>
      <w:r>
        <w:t>Governance boundary</w:t>
      </w:r>
    </w:p>
    <w:p>
      <w:pPr>
        <w:jc w:val="both"/>
      </w:pPr>
      <w:r>
        <w:t>Any follow-on study using customer transactions, investigator decisions, bank balance sheets, household microdata, device telemetry or cross-border legal records must obtain the applicable institutional ethics approval, data-protection impact assessment, legal basis, purpose limitation, retention schedule, access controls and independent oversight before data access.</w:t>
      </w:r>
    </w:p>
    <w:p>
      <w:pPr>
        <w:pStyle w:val="Heading1"/>
      </w:pPr>
      <w:r>
        <w:t>High-risk use limitation</w:t>
      </w:r>
    </w:p>
    <w:p>
      <w:pPr>
        <w:jc w:val="both"/>
      </w:pPr>
      <w:r>
        <w:t>AML and sanctions outputs are research decision-support scores. They are not findings of illegality and must not trigger adverse action without authorized institutional review, applicable legal analysis and documented due process.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Composable Assurance for Sovereign Digital Currency | Submission material | 6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2F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E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12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and Data Governance</dc:title>
  <dc:subject/>
  <dc:creator>Md Zubaer Mahmood Zubraj</dc:creator>
  <cp:keywords/>
  <dc:description>generated by python-docx</dc:description>
  <cp:lastModifiedBy>Md Zubaer Mahmood Zubraj</cp:lastModifiedBy>
  <cp:revision>1</cp:revision>
  <dcterms:created xsi:type="dcterms:W3CDTF">2013-12-23T23:15:00Z</dcterms:created>
  <dcterms:modified xsi:type="dcterms:W3CDTF">2013-12-23T23:15:00Z</dcterms:modified>
  <cp:category/>
</cp:coreProperties>
</file>