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2F49"/>
          <w:sz w:val="36"/>
        </w:rPr>
        <w:t>Funding Statement</w:t>
      </w:r>
    </w:p>
    <w:p/>
    <w:p>
      <w:pPr>
        <w:jc w:val="both"/>
      </w:pPr>
      <w:r>
        <w:t>This research received no specific grant from any funding agency in the public, commercial or not-for-profit sectors.</w:t>
      </w:r>
    </w:p>
    <w:p>
      <w:r>
        <w:rPr>
          <w:i/>
          <w:color w:val="784600"/>
        </w:rPr>
        <w:t>Author confirmation is required before submission. Add all grant numbers, institutional support, cloud credits, consulting support or in-kind contributions if applicable.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Composable Assurance for Sovereign Digital Currency | Submission material | 6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12F4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E4E6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12F4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Funding Statement</dc:title>
  <dc:subject/>
  <dc:creator>Md Zubaer Mahmood Zubraj</dc:creator>
  <cp:keywords/>
  <dc:description>generated by python-docx</dc:description>
  <cp:lastModifiedBy>Md Zubaer Mahmood Zubraj</cp:lastModifiedBy>
  <cp:revision>1</cp:revision>
  <dcterms:created xsi:type="dcterms:W3CDTF">2013-12-23T23:15:00Z</dcterms:created>
  <dcterms:modified xsi:type="dcterms:W3CDTF">2013-12-23T23:15:00Z</dcterms:modified>
  <cp:category/>
</cp:coreProperties>
</file>