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80" w:line="252" w:lineRule="auto"/>
        <w:jc w:val="center"/>
      </w:pPr>
      <w:r>
        <w:rPr>
          <w:rFonts w:ascii="Arial" w:hAnsi="Arial"/>
          <w:b/>
          <w:color w:val="1F4E79"/>
          <w:sz w:val="36"/>
        </w:rPr>
        <w:t>Composable assurance for sovereign digital currency</w:t>
        <w:br/>
      </w:r>
      <w:r>
        <w:rPr>
          <w:rFonts w:ascii="Arial" w:hAnsi="Arial"/>
          <w:b/>
          <w:color w:val="1F4E79"/>
          <w:sz w:val="36"/>
        </w:rPr>
        <w:t>(CBDC): An evidence-gated qualification framework</w:t>
      </w:r>
    </w:p>
    <w:p>
      <w:pPr>
        <w:spacing w:after="0" w:before="0" w:line="20" w:lineRule="exact"/>
        <w:jc w:val="center"/>
      </w:pPr>
      <w:r/>
    </w:p>
    <w:p>
      <w:pPr>
        <w:keepNext/>
        <w:spacing w:after="120" w:before="0"/>
        <w:jc w:val="center"/>
      </w:pPr>
      <w:r>
        <w:rPr>
          <w:rFonts w:ascii="Arial" w:hAnsi="Arial"/>
          <w:b/>
          <w:sz w:val="25"/>
        </w:rPr>
        <w:t>Zubaer Mahmood Zubraj</w:t>
      </w:r>
    </w:p>
    <w:p>
      <w:pPr>
        <w:keepNext/>
        <w:spacing w:after="400" w:before="0" w:line="276" w:lineRule="auto"/>
        <w:jc w:val="center"/>
      </w:pPr>
      <w:r>
        <w:rPr>
          <w:rFonts w:ascii="Arial" w:hAnsi="Arial"/>
          <w:sz w:val="20"/>
        </w:rPr>
        <w:t>Email: zmzubraj@gmail.com</w:t>
        <w:br/>
      </w:r>
      <w:r>
        <w:rPr>
          <w:rFonts w:ascii="Arial" w:hAnsi="Arial"/>
          <w:sz w:val="20"/>
        </w:rPr>
        <w:t>ORCID: https://orcid.org/0009-0004-3251-3385</w:t>
      </w:r>
    </w:p>
    <w:p>
      <w:pPr>
        <w:pStyle w:val="Heading1"/>
        <w:keepNext/>
      </w:pPr>
      <w:r>
        <w:t>Abstract</w:t>
      </w:r>
    </w:p>
    <w:p>
      <w:pPr>
        <w:pStyle w:val="BodyText"/>
      </w:pPr>
      <w:r>
        <w:t>A central bank digital currency (CBDC) architecture must jointly preserve monetary singleness, privacy, financial integrity, legal finality, and operational resilience. This study presents an evidence-constrained composition framework for reserve-settled domestic conversion and payment-versus-payment across independently governed sovereign ledgers. A formal state model explores 2,013 states and 19,480 transitions under a declared two-key equivocation bound. A local eleven-service prototype binds bilateral compliance authorizations, unequal-currency quotes, and final prepare receipts to 5-of-7 quorum certificates, while testing restart, duplicate delivery, stale evidence, and conflicting votes. Synthetic privacy experiments show that shielding and batching reduce network-observer linkability under generator shift, although residual leakage remains. A registered person-level differential-privacy service enforces a twelve-release epsilon budget. Across sixteen synthetic AML graphs, cross-institution features improve mean PR-AUC by 0.058, with heterogeneity across graph families. Calibrated sanctions screening exposes the operational trade-off between recall and false-alert workload. Economic analysis replaces a universal holding limit with a partially identified adaptive rule. A queueing digital twin passes declared 2,000-20,000 TPS scenarios but fails an overload control. The contribution is a reproducible qualification pathway, not evidence of production or national deployment.</w:t>
      </w:r>
    </w:p>
    <w:p>
      <w:pPr>
        <w:pStyle w:val="BodyText"/>
      </w:pPr>
      <w:r>
        <w:t>Keywords: central bank digital currency; cross-border settlement; differential privacy; AML/CFT; operational resilience; reproducibility</w:t>
      </w:r>
    </w:p>
    <w:p>
      <w:pPr>
        <w:pStyle w:val="Heading1"/>
      </w:pPr>
      <w:r>
        <w:t>Key messages</w:t>
      </w:r>
    </w:p>
    <w:p>
      <w:pPr>
        <w:pStyle w:val="ListBullet"/>
        <w:spacing w:after="40"/>
      </w:pPr>
      <w:r>
        <w:t>CBDC assurance must be evaluated as a composed system, not isolated modules.</w:t>
      </w:r>
    </w:p>
    <w:p>
      <w:pPr>
        <w:pStyle w:val="ListBullet"/>
        <w:spacing w:after="40"/>
      </w:pPr>
      <w:r>
        <w:t>Cross-border decisions bind monetary, FX, compliance, and prepare evidence.</w:t>
      </w:r>
    </w:p>
    <w:p>
      <w:pPr>
        <w:pStyle w:val="ListBullet"/>
        <w:spacing w:after="40"/>
      </w:pPr>
      <w:r>
        <w:t>Privacy, AML, sanctions, and policy claims remain bounded by their evidence.</w:t>
      </w:r>
    </w:p>
    <w:p>
      <w:pPr>
        <w:pStyle w:val="ListBullet"/>
        <w:spacing w:after="40"/>
      </w:pPr>
      <w:r>
        <w:t>Scale qualification must progress from models to physical and field evidence.</w:t>
      </w:r>
    </w:p>
    <w:p>
      <w:pPr>
        <w:pStyle w:val="Heading1"/>
        <w:keepNext/>
      </w:pPr>
      <w:r>
        <w:t>1. Introduction</w:t>
      </w:r>
    </w:p>
    <w:p>
      <w:pPr>
        <w:pStyle w:val="BodyText"/>
      </w:pPr>
      <w:r>
        <w:t>CBDC work has advanced from conceptual ledgers to two-tier prototypes, privacy mechanisms, offline payment designs, programmable compliance and cross-border experiments. The 2024 BIS survey reported broad central-bank exploration, but exploration does not imply that one architecture has jointly established monetary correctness, privacy, financial-integrity effectiveness, economic stability and national-scale resilience [1]. The central challenge is compositional assurance: improving one property can weaken another. Detailed transaction visibility may assist investigation but create population-scale surveillance; aggressive privacy may weaken typology detection; immediate convertibility may increase usability while accelerating deposit flight; cross-system coordination may improve reach while creating a shared governance or failure concentration.</w:t>
      </w:r>
    </w:p>
    <w:p>
      <w:pPr>
        <w:pStyle w:val="BodyText"/>
      </w:pPr>
      <w:r>
        <w:t>This paper studies the following question: under which explicitly testable assumptions can independent sovereign CBDC systems provide reserve-settled conversion, privacy-preserving financial integrity, evidence-bound cross-border finality, adaptive policy limits and a falsifiable path to national-scale qualification? The intended contribution is not a new consensus algorithm or a universal monetary-policy number. It is a composition and evidence methodology that connects each architecture claim to a formal, empirical, operational or institutional test.</w:t>
      </w:r>
    </w:p>
    <w:p>
      <w:pPr>
        <w:pStyle w:val="ListBullet"/>
      </w:pPr>
      <w:r>
        <w:t>A sovereign-boundary architecture in which no foreign ledger or interlink can mint, burn or directly mutate another currency.</w:t>
      </w:r>
    </w:p>
    <w:p>
      <w:pPr>
        <w:pStyle w:val="ListBullet"/>
      </w:pPr>
      <w:r>
        <w:t>A cross-border evidence protocol that binds payment intent, unequal-currency FX quote, bilateral compliance authorizations and final prepare receipts to explicit terminal certificates.</w:t>
      </w:r>
    </w:p>
    <w:p>
      <w:pPr>
        <w:pStyle w:val="ListBullet"/>
      </w:pPr>
      <w:r>
        <w:t>A privacy evaluation with learned attackers, distribution shift and large ranking populations, plus a separately scoped person-level differential-privacy service for public statistics.</w:t>
      </w:r>
    </w:p>
    <w:p>
      <w:pPr>
        <w:pStyle w:val="ListBullet"/>
      </w:pPr>
      <w:r>
        <w:t>Leakage-controlled AML/CFT experiments across independent graph families, calibrated sanctions-screening policy frontiers and prospective effectiveness outcomes.</w:t>
      </w:r>
    </w:p>
    <w:p>
      <w:pPr>
        <w:pStyle w:val="ListBullet"/>
      </w:pPr>
      <w:r>
        <w:t>A partially identified, robust and adaptive policy-limit method that treats stability, utility, inclusion and distribution as constraints rather than assuming one transferable optimum.</w:t>
      </w:r>
    </w:p>
    <w:p>
      <w:pPr>
        <w:pStyle w:val="ListBullet"/>
      </w:pPr>
      <w:r>
        <w:t>A four-stage national qualification method: analytical lower bounds, trace-driven queue simulation, physical multi-region testing and an independently observed pilot.</w:t>
      </w:r>
    </w:p>
    <w:p>
      <w:pPr>
        <w:keepNext/>
        <w:spacing w:after="20"/>
        <w:jc w:val="center"/>
      </w:pPr>
      <w:r>
        <w:drawing>
          <wp:inline xmlns:a="http://schemas.openxmlformats.org/drawingml/2006/main" xmlns:pic="http://schemas.openxmlformats.org/drawingml/2006/picture">
            <wp:extent cx="6126480" cy="3033847"/>
            <wp:docPr id="1" name="Picture 1" title="v7 assurance stack" descr="Figure 1. Composable assurance and the evidence ladder used throughout the paper."/>
            <wp:cNvGraphicFramePr>
              <a:graphicFrameLocks noChangeAspect="1"/>
            </wp:cNvGraphicFramePr>
            <a:graphic>
              <a:graphicData uri="http://schemas.openxmlformats.org/drawingml/2006/picture">
                <pic:pic>
                  <pic:nvPicPr>
                    <pic:cNvPr id="0" name="v7_assurance_stack.png"/>
                    <pic:cNvPicPr/>
                  </pic:nvPicPr>
                  <pic:blipFill>
                    <a:blip r:embed="rId11"/>
                    <a:stretch>
                      <a:fillRect/>
                    </a:stretch>
                  </pic:blipFill>
                  <pic:spPr>
                    <a:xfrm>
                      <a:off x="0" y="0"/>
                      <a:ext cx="6126480" cy="3033847"/>
                    </a:xfrm>
                    <a:prstGeom prst="rect"/>
                  </pic:spPr>
                </pic:pic>
              </a:graphicData>
            </a:graphic>
          </wp:inline>
        </w:drawing>
      </w:r>
    </w:p>
    <w:p>
      <w:pPr>
        <w:pStyle w:val="Caption"/>
        <w:jc w:val="center"/>
      </w:pPr>
      <w:r>
        <w:t>Figure 1. Composable assurance and the evidence ladder used throughout the paper.</w:t>
      </w:r>
    </w:p>
    <w:p>
      <w:pPr>
        <w:pStyle w:val="Heading1"/>
        <w:keepNext/>
      </w:pPr>
      <w:r>
        <w:t>2. Related work and novelty boundary</w:t>
      </w:r>
    </w:p>
    <w:p>
      <w:pPr>
        <w:pStyle w:val="BodyText"/>
      </w:pPr>
      <w:r>
        <w:t>Project Icebreaker demonstrated cross-border retail settlement through two domestic CBDC legs funded by FX providers [2]. Project Mandala developed rules and proof engines for compliance-by-design [3]. Project Agorá demonstrated atomic multi-currency wholesale settlement on a shared programmable platform and, in July 2026, completed 17 controlled real-value scenarios involving 28 financial institutions and central banks and approximately CHF 800,000; the BIS describes this as prototype testing rather than a finished product [4]. Project FuSSE reported 10,000 transactions per second in a controlled modular proof of concept while explicitly identifying scaling and operational challenges [5]. These projects provide essential components, but they use different market structures and evidence scopes. Academic and policy work separately addresses atomic cross-chain CBDC settlement, TEE-based interoperability across independent semi-centralized ledgers, five-element cross-border design choices, functional CBDC architecture requirements, and privacy/AML regulation-by-design [35]-[39]. A standards-based composable CBDC implementation already links token and contract networks [40]; later work extends offline privacy/compliance classification [41], architecture-agnostic cross-system checkpoints [42], and formal-method arguments for CBDC operational resilience [43]. Jin and Xia's CEV framework already recommends CBDC consensus and operating architectures and validates proposals through experiments and formal analysis [44]. The claimed difference here is therefore not priority for any isolated component or for CBDC evaluation and verification as a broad category. It is the narrower joint claim-to-evidence qualification method that connects settlement safety, privacy leakage and differential privacy, AML and sanctions evaluation, adaptive holding limits, and falsifiable scale gates under one explicit maturity boundary.</w:t>
      </w:r>
    </w:p>
    <w:p>
      <w:pPr>
        <w:pStyle w:val="BodyText"/>
      </w:pPr>
      <w:r>
        <w:t>The transaction-decision service builds on atomic-commit and fault-tolerant consensus literature rather than claiming a new consensus primitive [6]-[8]. Privacy design follows the institutional and technical separation emphasized by NIST, IMF, Tourbillon and W3C work [9], [22], [23], [33]. Financial-integrity evaluation incorporates the network perspectives explored by Aurora and Hertha [19], [20] while distinguishing predictive performance from the effectiveness outcomes required by FATF [10], [26], [27], [34]. Monetary-policy analysis is informed by BIS and ECB work on gradual and stress-driven bank disintermediation [14]-[16]. Operational qualification uses TIPS, Pix and FuSSE as workload references without treating any one reference as a universal CBDC demand forecast [5], [17], [18].</w:t>
      </w:r>
    </w:p>
    <w:p>
      <w:pPr>
        <w:pStyle w:val="Caption"/>
        <w:keepNext/>
      </w:pPr>
      <w:r>
        <w:t>Table 1. Principal novelty boundaries.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Prior stream</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Established contribution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Boundary addressed in this paper</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Icebreaker [2]</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 domestic cross-border legs and FX-provider competition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Evidence-bound prepare and terminal certificates; explicit recovery and legal evidence</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Mandala [3]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Rules and cryptographic compliance proofs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Composition with monetary accounting, privacy, AML analytics and settlement finality</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Agorá [4]</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Atomic multi-currency wholesale settlement on a shared platform</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Independent-ledger isolation and jurisdiction-specific policy control</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 [5]</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 controlled modular settlement proof of concept</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Qualification method that separates analytical, simulated, physical and pilot evidence</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Paxos Commit / BFT [6]-[8]</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Fault-tolerant decision and consensus foundations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evidence objects, sovereign boundaries and legal mapping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BIS/ECB policy analysis [14]-[16]</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Structural and bank-level CBDC exposure analysis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Partially identified, adaptive rule rather than universal transfer of one estimate</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Scoped novelty. </w:t>
            </w:r>
            <w:r>
              <w:t>The contribution is the explicit composition of monetary accounting, privacy, financial integrity, independent-ledger finality, adaptive policy and evidence-gated scale qualification. Individual primitives are not claimed as novel.</w:t>
            </w:r>
          </w:p>
        </w:tc>
      </w:tr>
    </w:tbl>
    <w:p>
      <w:pPr>
        <w:spacing w:after="20"/>
      </w:pPr>
    </w:p>
    <w:p>
      <w:pPr>
        <w:pStyle w:val="Heading1"/>
        <w:keepNext/>
      </w:pPr>
      <w:r>
        <w:t>3. System model, requirements and monetary invariants</w:t>
      </w:r>
    </w:p>
    <w:p>
      <w:pPr>
        <w:keepNext/>
        <w:spacing w:after="20"/>
        <w:jc w:val="center"/>
      </w:pPr>
      <w:r>
        <w:drawing>
          <wp:inline xmlns:a="http://schemas.openxmlformats.org/drawingml/2006/main" xmlns:pic="http://schemas.openxmlformats.org/drawingml/2006/picture">
            <wp:extent cx="6126480" cy="3448340"/>
            <wp:docPr id="2" name="Picture 2" title="v7 architecture" descr="Figure 2. Technology-neutral architecture and the sovereign boundary."/>
            <wp:cNvGraphicFramePr>
              <a:graphicFrameLocks noChangeAspect="1"/>
            </wp:cNvGraphicFramePr>
            <a:graphic>
              <a:graphicData uri="http://schemas.openxmlformats.org/drawingml/2006/picture">
                <pic:pic>
                  <pic:nvPicPr>
                    <pic:cNvPr id="0" name="v7_architecture.png"/>
                    <pic:cNvPicPr/>
                  </pic:nvPicPr>
                  <pic:blipFill>
                    <a:blip r:embed="rId12"/>
                    <a:stretch>
                      <a:fillRect/>
                    </a:stretch>
                  </pic:blipFill>
                  <pic:spPr>
                    <a:xfrm>
                      <a:off x="0" y="0"/>
                      <a:ext cx="6126480" cy="3448340"/>
                    </a:xfrm>
                    <a:prstGeom prst="rect"/>
                  </pic:spPr>
                </pic:pic>
              </a:graphicData>
            </a:graphic>
          </wp:inline>
        </w:drawing>
      </w:r>
    </w:p>
    <w:p>
      <w:pPr>
        <w:pStyle w:val="Caption"/>
        <w:jc w:val="center"/>
      </w:pPr>
      <w:r>
        <w:t>Figure 2. Technology-neutral architecture and the sovereign boundary.</w:t>
      </w:r>
    </w:p>
    <w:p>
      <w:pPr>
        <w:pStyle w:val="BodyText"/>
      </w:pPr>
      <w:r>
        <w:t>Each domestic system contains a central-bank monetary core, a reserve/RTGS adapter, regulated payment-interface providers (PIPs), identity and credential services, financial-integrity services, an offline-risk module and operational-security controls. The implementation may use a high-assurance replicated database or a permissioned deterministic ledger. Governance remains centralized in law and monetary authority even when technical operation is distributed for resilience.</w:t>
      </w:r>
    </w:p>
    <w:p>
      <w:pPr>
        <w:pStyle w:val="Caption"/>
        <w:keepNext/>
      </w:pPr>
      <w:r>
        <w:t>Table 2. Core design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interpretation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Monetary singleness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is redeemable at par and recorded as a direct central-bank liability.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 conservation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Issuance, redemption, escrow and offline allocation reconcile to unique sources and immutable receipts.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Two-tier accountability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PIPs retain customer-facing identity, support, fraud and AML responsibilities.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 limitation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Each actor receives only the data required for its legal and operational role.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Deterministic finality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Terminal monetary state is technically and legally recognized; correction uses a new compensating transaction.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Failure containment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A foreign, PIP or analytics failure cannot create money or corrupt unrelated domestic balances.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 before scale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Scope expands only after formal, privacy, AML, sanctions, economic, performance and legal gates pass.</w:t>
            </w:r>
          </w:p>
        </w:tc>
      </w:tr>
    </w:tbl>
    <w:p>
      <w:pPr>
        <w:spacing w:after="20"/>
      </w:pPr>
    </w:p>
    <w:p>
      <w:pPr>
        <w:pStyle w:val="BodyText"/>
      </w:pPr>
      <w:r>
        <w:t>Wholesale issuance converts reserve liabilities into CBDC inventory; retail conversion exchanges a commercial-bank deposit for existing CBDC inventory. These operations must not be conflated. Let R denote reserve liabilities, C issued CBDC, N notes, I_b the CBDC inventory of bank b, W_u a customer wallet and E settlement escrow.</w:t>
      </w:r>
    </w:p>
    <w:p>
      <w:pPr>
        <w:spacing w:before="40" w:after="60"/>
        <w:jc w:val="center"/>
      </w:pPr>
      <w:r>
        <w:rPr>
          <w:rFonts w:ascii="Cambria Math" w:hAnsi="Cambria Math"/>
          <w:sz w:val="19"/>
        </w:rPr>
        <w:t>Delta C = - Delta R    (1)</w:t>
      </w:r>
    </w:p>
    <w:p>
      <w:pPr>
        <w:spacing w:before="40" w:after="60"/>
        <w:jc w:val="center"/>
      </w:pPr>
      <w:r>
        <w:rPr>
          <w:rFonts w:ascii="Cambria Math" w:hAnsi="Cambria Math"/>
          <w:sz w:val="19"/>
        </w:rPr>
        <w:t>R + C + N = constant  (for a pure liability-composition change)    (2)</w:t>
      </w:r>
    </w:p>
    <w:p>
      <w:pPr>
        <w:spacing w:before="40" w:after="60"/>
        <w:jc w:val="center"/>
      </w:pPr>
      <w:r>
        <w:rPr>
          <w:rFonts w:ascii="Cambria Math" w:hAnsi="Cambria Math"/>
          <w:sz w:val="19"/>
        </w:rPr>
        <w:t>C = sum_b I_b + sum_u W_u + E + O + A    (3)</w:t>
      </w:r>
    </w:p>
    <w:p>
      <w:pPr>
        <w:pStyle w:val="BodyText"/>
      </w:pPr>
      <w:r>
        <w:t>Here O is risk-bounded offline value and A contains explicitly defined system accounts. Every increase in C references one final reserve or authorized accounting event. Replays are idempotent, balances cannot become negative, and finalized history is not rolled back.</w:t>
      </w:r>
    </w:p>
    <w:p>
      <w:pPr>
        <w:pStyle w:val="Heading1"/>
        <w:keepNext/>
      </w:pPr>
      <w:r>
        <w:t>4. Evidence-bound cross-border settlement</w:t>
      </w:r>
    </w:p>
    <w:p>
      <w:pPr>
        <w:keepNext/>
        <w:spacing w:after="20"/>
        <w:jc w:val="center"/>
      </w:pPr>
      <w:r>
        <w:drawing>
          <wp:inline xmlns:a="http://schemas.openxmlformats.org/drawingml/2006/main" xmlns:pic="http://schemas.openxmlformats.org/drawingml/2006/picture">
            <wp:extent cx="6126480" cy="3654350"/>
            <wp:docPr id="3" name="Picture 3" title="v7 cross border sequence" descr="Figure 3. Cross-border sequence with explicit PREPARE and terminal decision certificates."/>
            <wp:cNvGraphicFramePr>
              <a:graphicFrameLocks noChangeAspect="1"/>
            </wp:cNvGraphicFramePr>
            <a:graphic>
              <a:graphicData uri="http://schemas.openxmlformats.org/drawingml/2006/picture">
                <pic:pic>
                  <pic:nvPicPr>
                    <pic:cNvPr id="0" name="v7_cross_border_sequence.png"/>
                    <pic:cNvPicPr/>
                  </pic:nvPicPr>
                  <pic:blipFill>
                    <a:blip r:embed="rId13"/>
                    <a:stretch>
                      <a:fillRect/>
                    </a:stretch>
                  </pic:blipFill>
                  <pic:spPr>
                    <a:xfrm>
                      <a:off x="0" y="0"/>
                      <a:ext cx="6126480" cy="3654350"/>
                    </a:xfrm>
                    <a:prstGeom prst="rect"/>
                  </pic:spPr>
                </pic:pic>
              </a:graphicData>
            </a:graphic>
          </wp:inline>
        </w:drawing>
      </w:r>
    </w:p>
    <w:p>
      <w:pPr>
        <w:pStyle w:val="Caption"/>
        <w:jc w:val="center"/>
      </w:pPr>
      <w:r>
        <w:t>Figure 3. Cross-border sequence with explicit PREPARE and terminal decision certificates.</w:t>
      </w:r>
    </w:p>
    <w:p>
      <w:pPr>
        <w:pStyle w:val="BodyText"/>
      </w:pPr>
      <w:r>
        <w:t>Currency A remains on ledger A and currency B remains on ledger B. A licensed FX provider is prefunded in both systems. The payer transfers A domestically to the provider; the provider transfers B domestically to the payee. The interlink coordinates signed evidence but never custodies or represents either CBDC.</w:t>
      </w:r>
    </w:p>
    <w:p>
      <w:pPr>
        <w:pStyle w:val="Caption"/>
        <w:keepNext/>
      </w:pPr>
      <w:r>
        <w:t>Table 3. Cross-border protocol objects.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Object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Mandatory binding</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Payment intent PI</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payer/payee routing, currencies, maximum debit, minimum credit, corridor, expiry and unique transaction ID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FX quote Q</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unequal amounts, rate, fee, provider, validity and signature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CA / CB</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jurisdiction, policy and list versions, payment digest, amount and expiry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Prepare PA / PB</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final domestic escrow state, exact currency/amount, source, destination and finality receipt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Prepare certificate PC</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5-of-7 decision-node votes over the identical evidence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Terminal certificate TC</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5-of-7 COMMIT or ABORT votes; honest nodes durably record one terminal decision</w:t>
            </w:r>
          </w:p>
        </w:tc>
      </w:tr>
    </w:tbl>
    <w:p>
      <w:pPr>
        <w:spacing w:after="20"/>
      </w:pPr>
    </w:p>
    <w:p>
      <w:pPr>
        <w:pStyle w:val="BodyText"/>
      </w:pPr>
      <w:r>
        <w:t>For n=7 signers and q=5, any two quorums intersect in at least 2q-n=3 nodes. If at most f=2 keys equivocate and every honest signer durably signs at most one terminal decision for a transaction, conflicting valid terminal certificates require at least one honest signer to violate its lock.</w:t>
      </w:r>
    </w:p>
    <w:p>
      <w:pPr>
        <w:spacing w:before="40" w:after="60"/>
        <w:jc w:val="center"/>
      </w:pPr>
      <w:r>
        <w:rPr>
          <w:rFonts w:ascii="Cambria Math" w:hAnsi="Cambria Math"/>
          <w:sz w:val="19"/>
        </w:rPr>
        <w:t>|Q_1 intersection Q_2| &gt;= 2q - n = 3 &gt; f = 2    (4)</w:t>
      </w:r>
    </w:p>
    <w:p>
      <w:pPr>
        <w:pStyle w:val="Caption"/>
        <w:keepNext/>
      </w:pPr>
      <w:r>
        <w:t>Table 4. Cross-border properties and proof boundary.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Argument and boundary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local-timeout abort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 domestic ledger releases escrow only on a valid ABORT certificate; silence or local time is insufficient.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 committed-versus-aborted finality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Both ledgers verify a terminal certificate bound to the same digest before finalization.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atomicity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 Q, CA, CB, PA and PB are included in the certificate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Replay resistance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Unique IDs, expiry, digest binding and idempotent state transitions reject duplicate economic effects.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Sovereign isolation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The interlink cannot mint, burn, freeze or directly transfer either domestic currency.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Proof boundary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Safety assumes signature security, durable honest locks, correct verification and no more than two equivocating keys; indefinite denial of service and dynamic membership are outside the model.</w:t>
            </w:r>
          </w:p>
        </w:tc>
      </w:tr>
    </w:tbl>
    <w:p>
      <w:pPr>
        <w:spacing w:after="20"/>
      </w:pPr>
    </w:p>
    <w:p>
      <w:pPr>
        <w:pStyle w:val="BodyText"/>
      </w:pPr>
      <w:r>
        <w:t>The executable abstract model reaches 2,013 states through 19,480 transitions and finds no encoded conflicting-certificate or split-finality state. The eleven-service laboratory prototype completes 84 unequal-currency transfers and rejects stale compliance, mismatched quotes and conflicting certificates. These results establish bounded model and laboratory evidence, not certified multi-region or Byzantine deployment.</w:t>
      </w:r>
    </w:p>
    <w:p>
      <w:r>
        <w:br w:type="page"/>
      </w:r>
    </w:p>
    <w:p>
      <w:pPr>
        <w:pStyle w:val="Heading1"/>
        <w:keepNext/>
      </w:pPr>
      <w:r>
        <w:t>5. Privacy architecture and registered differential privacy</w:t>
      </w:r>
    </w:p>
    <w:p>
      <w:pPr>
        <w:keepNext/>
        <w:spacing w:after="20"/>
        <w:jc w:val="center"/>
      </w:pPr>
      <w:r>
        <w:drawing>
          <wp:inline xmlns:a="http://schemas.openxmlformats.org/drawingml/2006/main" xmlns:pic="http://schemas.openxmlformats.org/drawingml/2006/picture">
            <wp:extent cx="6126480" cy="3141665"/>
            <wp:docPr id="4" name="Picture 4" title="v7 privacy dp pipeline" descr="Figure 4. Institutional separation, learned privacy attacks and registered public-statistics releases."/>
            <wp:cNvGraphicFramePr>
              <a:graphicFrameLocks noChangeAspect="1"/>
            </wp:cNvGraphicFramePr>
            <a:graphic>
              <a:graphicData uri="http://schemas.openxmlformats.org/drawingml/2006/picture">
                <pic:pic>
                  <pic:nvPicPr>
                    <pic:cNvPr id="0" name="v7_privacy_dp_pipeline.png"/>
                    <pic:cNvPicPr/>
                  </pic:nvPicPr>
                  <pic:blipFill>
                    <a:blip r:embed="rId14"/>
                    <a:stretch>
                      <a:fillRect/>
                    </a:stretch>
                  </pic:blipFill>
                  <pic:spPr>
                    <a:xfrm>
                      <a:off x="0" y="0"/>
                      <a:ext cx="6126480" cy="3141665"/>
                    </a:xfrm>
                    <a:prstGeom prst="rect"/>
                  </pic:spPr>
                </pic:pic>
              </a:graphicData>
            </a:graphic>
          </wp:inline>
        </w:drawing>
      </w:r>
    </w:p>
    <w:p>
      <w:pPr>
        <w:pStyle w:val="Caption"/>
        <w:jc w:val="center"/>
      </w:pPr>
      <w:r>
        <w:t>Figure 4. Institutional separation, learned privacy attacks and registered public-statistics releases.</w:t>
      </w:r>
    </w:p>
    <w:p>
      <w:pPr>
        <w:pStyle w:val="Heading2"/>
        <w:keepNext/>
      </w:pPr>
      <w:r>
        <w:t>5.1 Formal objective and attacker model</w:t>
      </w:r>
    </w:p>
    <w:p>
      <w:pPr>
        <w:pStyle w:val="BodyText"/>
      </w:pPr>
      <w:r>
        <w:t>The privacy objective is data minimization and bounded linkability, not universal anonymity. Full identity remains with the responsible PIP. The core ledger receives rotating references and minimum settlement state. Compliance presentations are bound to a transaction and must not expose stable presentation identifiers. Lawful re-identification requires a documented legal basis, an authorization quorum and an immutable access record.</w:t>
      </w:r>
    </w:p>
    <w:p>
      <w:pPr>
        <w:pStyle w:val="Caption"/>
        <w:keepNext/>
      </w:pPr>
      <w:r>
        <w:t>Table 5. Privacy attacker model.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Attacker</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Observable information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Primary inference risk</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Ledger operator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rotating references, amount, time, state and counterparty class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behavioral linkage across rotations</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observer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endpoint class, transport timing, cadence and size bands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traffic correlation</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Merchant coalition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repeat merchant visits, time and spending pattern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cross-merchant profiling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Compromised PIP</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identity mapping and local history plus auxiliary data</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direct re-identification and cross-system linkage</w:t>
            </w:r>
          </w:p>
        </w:tc>
      </w:tr>
    </w:tbl>
    <w:p>
      <w:pPr>
        <w:spacing w:after="20"/>
      </w:pPr>
    </w:p>
    <w:p>
      <w:pPr>
        <w:pStyle w:val="BodyText"/>
      </w:pPr>
      <w:r>
        <w:t>Let b be a hidden bit selecting whether two observations originate from the same person. An attacker A receives only the declared leakage L and returns a guess. The linkability advantage is:</w:t>
      </w:r>
    </w:p>
    <w:p>
      <w:pPr>
        <w:spacing w:before="40" w:after="60"/>
        <w:jc w:val="center"/>
      </w:pPr>
      <w:r>
        <w:rPr>
          <w:rFonts w:ascii="Cambria Math" w:hAnsi="Cambria Math"/>
          <w:sz w:val="19"/>
        </w:rPr>
        <w:t>Adv_link(A) = | Pr[A(L_0,L_1)=b] - 1/2 |    (5)</w:t>
      </w:r>
    </w:p>
    <w:p>
      <w:pPr>
        <w:pStyle w:val="BodyText"/>
      </w:pPr>
      <w:r>
        <w:t>The formal objective requires negligible advantage for protected contexts under the chosen cryptographic and traffic assumptions. The empirical experiment deliberately relaxes those ideal assumptions and measures how much metadata remains exploitable.</w:t>
      </w:r>
    </w:p>
    <w:p>
      <w:pPr>
        <w:pStyle w:val="Heading2"/>
        <w:keepNext/>
      </w:pPr>
      <w:r>
        <w:t>5.2 Learned red-team evaluation</w:t>
      </w:r>
    </w:p>
    <w:p>
      <w:pPr>
        <w:keepNext/>
        <w:spacing w:after="20"/>
        <w:jc w:val="center"/>
      </w:pPr>
      <w:r>
        <w:drawing>
          <wp:inline xmlns:a="http://schemas.openxmlformats.org/drawingml/2006/main" xmlns:pic="http://schemas.openxmlformats.org/drawingml/2006/picture">
            <wp:extent cx="5897880" cy="3150004"/>
            <wp:docPr id="5" name="Picture 5" title="privacy v7 learned attack" descr="Figure 5. Learned pairwise-attack ROC-AUC under unseen-user and independently generated evaluation regimes."/>
            <wp:cNvGraphicFramePr>
              <a:graphicFrameLocks noChangeAspect="1"/>
            </wp:cNvGraphicFramePr>
            <a:graphic>
              <a:graphicData uri="http://schemas.openxmlformats.org/drawingml/2006/picture">
                <pic:pic>
                  <pic:nvPicPr>
                    <pic:cNvPr id="0" name="privacy_v7_learned_attack.png"/>
                    <pic:cNvPicPr/>
                  </pic:nvPicPr>
                  <pic:blipFill>
                    <a:blip r:embed="rId15"/>
                    <a:stretch>
                      <a:fillRect/>
                    </a:stretch>
                  </pic:blipFill>
                  <pic:spPr>
                    <a:xfrm>
                      <a:off x="0" y="0"/>
                      <a:ext cx="5897880" cy="3150004"/>
                    </a:xfrm>
                    <a:prstGeom prst="rect"/>
                  </pic:spPr>
                </pic:pic>
              </a:graphicData>
            </a:graphic>
          </wp:inline>
        </w:drawing>
      </w:r>
    </w:p>
    <w:p>
      <w:pPr>
        <w:pStyle w:val="Caption"/>
        <w:jc w:val="center"/>
      </w:pPr>
      <w:r>
        <w:t>Figure 5. Learned pairwise-attack ROC-AUC under unseen-user and independently generated evaluation regimes.</w:t>
      </w:r>
    </w:p>
    <w:p>
      <w:pPr>
        <w:pStyle w:val="Caption"/>
        <w:keepNext/>
      </w:pPr>
      <w:r>
        <w:t>Table 6. Learned network-observer linkage results.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Privacy profile</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Evaluation split</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Network-observer AUC</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Seed range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0.949-0.951</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0.992</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0.991-0.992</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0.741</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0.736-0.745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0.926</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0.917-0.935</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0.605</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0.595-0.615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0.830</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0.813-0.846</w:t>
            </w:r>
          </w:p>
        </w:tc>
      </w:tr>
    </w:tbl>
    <w:p>
      <w:pPr>
        <w:spacing w:after="20"/>
      </w:pPr>
    </w:p>
    <w:p>
      <w:pPr>
        <w:pStyle w:val="BodyText"/>
      </w:pPr>
      <w:r>
        <w:t>The attack uses traffic timing, endpoint classes, merchant repetition, wallet implementation fingerprints and behavioral summaries. The independent-generator split changes the calendar/payroll regime, while the unseen-user split holds out identities but preserves the generator. Pseudonym rotation alone is highly linkable. Relay standardization reduces linkability, and shielding plus batching reduces it further, but unseen-user AUC remains materially above random. The experiment therefore rejects any claim that pseudonym rotation or batching alone establishes anonymity.</w:t>
      </w:r>
    </w:p>
    <w:p>
      <w:pPr>
        <w:pStyle w:val="Caption"/>
        <w:keepNext/>
      </w:pPr>
      <w:r>
        <w:t>Table 7. Ranking attack under independently generated traffic.</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Profile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 at 3,000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MRR</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Median rank</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0.062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133.5</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697.5</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1215.8</w:t>
            </w:r>
          </w:p>
        </w:tc>
      </w:tr>
    </w:tbl>
    <w:p>
      <w:pPr>
        <w:spacing w:after="20"/>
      </w:pPr>
    </w:p>
    <w:p>
      <w:pPr>
        <w:pStyle w:val="Heading2"/>
        <w:keepNext/>
      </w:pPr>
      <w:r>
        <w:t>5.3 Registered public-statistics differential privacy</w:t>
      </w:r>
    </w:p>
    <w:p>
      <w:pPr>
        <w:pStyle w:val="BodyText"/>
      </w:pPr>
      <w:r>
        <w:t>Differential privacy is used only for registered aggregate publications, not as a blanket description of the ledger or AML system. Two datasets are adjacent when one person and all of that person’s registered contributions are added or removed. A person contributes one count to at most three cells per monthly release, so the L1 sensitivity of the histogram is three. The release mechanism is:</w:t>
      </w:r>
    </w:p>
    <w:p>
      <w:pPr>
        <w:spacing w:before="40" w:after="60"/>
        <w:jc w:val="center"/>
      </w:pPr>
      <w:r>
        <w:rPr>
          <w:rFonts w:ascii="Cambria Math" w:hAnsi="Cambria Math"/>
          <w:sz w:val="19"/>
        </w:rPr>
        <w:t>M(D) = max(0, f(D) + Laplace(Delta_1 / epsilon_t)),   Delta_1 = 3    (6)</w:t>
      </w:r>
    </w:p>
    <w:p>
      <w:pPr>
        <w:spacing w:before="40" w:after="60"/>
        <w:jc w:val="center"/>
      </w:pPr>
      <w:r>
        <w:rPr>
          <w:rFonts w:ascii="Cambria Math" w:hAnsi="Cambria Math"/>
          <w:sz w:val="19"/>
        </w:rPr>
        <w:t>epsilon_total = sum_(t=1)^12 epsilon_t = 4,   epsilon_t = 1/3    (7)</w:t>
      </w:r>
    </w:p>
    <w:p>
      <w:pPr>
        <w:pStyle w:val="BodyText"/>
      </w:pPr>
      <w:r>
        <w:t>Non-negative clipping is post-processing and does not weaken the formal guarantee, but it creates bias in sparse cells and is therefore measured. Ten thousand neighboring-dataset checks confirm a maximum L1 change of three in the implementation.</w:t>
      </w:r>
    </w:p>
    <w:p>
      <w:pPr>
        <w:keepNext/>
        <w:spacing w:after="20"/>
        <w:jc w:val="center"/>
      </w:pPr>
      <w:r>
        <w:drawing>
          <wp:inline xmlns:a="http://schemas.openxmlformats.org/drawingml/2006/main" xmlns:pic="http://schemas.openxmlformats.org/drawingml/2006/picture">
            <wp:extent cx="5806440" cy="3035185"/>
            <wp:docPr id="6" name="Picture 6" title="dp v7 utility" descr="Figure 6. Utility and clipping effects for dense and sparse registered histograms."/>
            <wp:cNvGraphicFramePr>
              <a:graphicFrameLocks noChangeAspect="1"/>
            </wp:cNvGraphicFramePr>
            <a:graphic>
              <a:graphicData uri="http://schemas.openxmlformats.org/drawingml/2006/picture">
                <pic:pic>
                  <pic:nvPicPr>
                    <pic:cNvPr id="0" name="dp_v7_utility.png"/>
                    <pic:cNvPicPr/>
                  </pic:nvPicPr>
                  <pic:blipFill>
                    <a:blip r:embed="rId16"/>
                    <a:stretch>
                      <a:fillRect/>
                    </a:stretch>
                  </pic:blipFill>
                  <pic:spPr>
                    <a:xfrm>
                      <a:off x="0" y="0"/>
                      <a:ext cx="5806440" cy="3035185"/>
                    </a:xfrm>
                    <a:prstGeom prst="rect"/>
                  </pic:spPr>
                </pic:pic>
              </a:graphicData>
            </a:graphic>
          </wp:inline>
        </w:drawing>
      </w:r>
    </w:p>
    <w:p>
      <w:pPr>
        <w:pStyle w:val="Caption"/>
        <w:jc w:val="center"/>
      </w:pPr>
      <w:r>
        <w:t>Figure 6. Utility and clipping effects for dense and sparse registered histograms.</w:t>
      </w:r>
    </w:p>
    <w:p>
      <w:pPr>
        <w:pStyle w:val="Caption"/>
        <w:keepNext/>
      </w:pPr>
      <w:r>
        <w:t>Table 8. Differential-privacy utility by annual budget.</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Annual epsilon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clipping bias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35.23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25.86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8.65</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17.77</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15.63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2.20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4.46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4.19</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12.4%</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0.07</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Guarantee boundary. </w:t>
            </w:r>
            <w:r>
              <w:t>The guarantee covers registered public histograms and their accountant. It does not cover raw data inside the trusted curator, identity maps, AML graphs, case files, arbitrary dashboards or unregistered revisions.</w:t>
            </w:r>
          </w:p>
        </w:tc>
      </w:tr>
    </w:tbl>
    <w:p>
      <w:pPr>
        <w:spacing w:after="20"/>
      </w:pPr>
    </w:p>
    <w:p>
      <w:pPr>
        <w:pStyle w:val="Heading1"/>
        <w:keepNext/>
      </w:pPr>
      <w:r>
        <w:t>6. AML/CFT evaluation: predictive evidence and effectiveness gate</w:t>
      </w:r>
    </w:p>
    <w:p>
      <w:pPr>
        <w:keepNext/>
        <w:spacing w:after="20"/>
        <w:jc w:val="center"/>
      </w:pPr>
      <w:r>
        <w:drawing>
          <wp:inline xmlns:a="http://schemas.openxmlformats.org/drawingml/2006/main" xmlns:pic="http://schemas.openxmlformats.org/drawingml/2006/picture">
            <wp:extent cx="6080760" cy="3118219"/>
            <wp:docPr id="7" name="Picture 7" title="v7 aml evaluation" descr="Figure 7. Leakage-controlled AML comparison and prospective effectiveness outcomes."/>
            <wp:cNvGraphicFramePr>
              <a:graphicFrameLocks noChangeAspect="1"/>
            </wp:cNvGraphicFramePr>
            <a:graphic>
              <a:graphicData uri="http://schemas.openxmlformats.org/drawingml/2006/picture">
                <pic:pic>
                  <pic:nvPicPr>
                    <pic:cNvPr id="0" name="v7_aml_evaluation.png"/>
                    <pic:cNvPicPr/>
                  </pic:nvPicPr>
                  <pic:blipFill>
                    <a:blip r:embed="rId17"/>
                    <a:stretch>
                      <a:fillRect/>
                    </a:stretch>
                  </pic:blipFill>
                  <pic:spPr>
                    <a:xfrm>
                      <a:off x="0" y="0"/>
                      <a:ext cx="6080760" cy="3118219"/>
                    </a:xfrm>
                    <a:prstGeom prst="rect"/>
                  </pic:spPr>
                </pic:pic>
              </a:graphicData>
            </a:graphic>
          </wp:inline>
        </w:drawing>
      </w:r>
    </w:p>
    <w:p>
      <w:pPr>
        <w:pStyle w:val="Caption"/>
        <w:jc w:val="center"/>
      </w:pPr>
      <w:r>
        <w:t>Figure 7. Leakage-controlled AML comparison and prospective effectiveness outcomes.</w:t>
      </w:r>
    </w:p>
    <w:p>
      <w:pPr>
        <w:pStyle w:val="BodyText"/>
      </w:pPr>
      <w:r>
        <w:t>FATF evaluates effectiveness separately from technical compliance [10]. Accordingly, the experiment asks a narrower predictive question: do minimized cross-institution network features improve account-level ranking relative to a genuinely PIP-local view across independent graph-generating regimes? It does not infer that a higher PR-AUC automatically improves investigations, suspicious-transaction reports or asset recovery.</w:t>
      </w:r>
    </w:p>
    <w:p>
      <w:pPr>
        <w:pStyle w:val="Caption"/>
        <w:keepNext/>
      </w:pPr>
      <w:r>
        <w:t>Table 9. AML/CFT predictive-evaluation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Design element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experimental unit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Sixteen independently generated graphs; four graphs in each of four generator families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Families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profile mix, calendar/payroll, merchant network and remittance corridor</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PIP-local baseline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features use only transactions visible to the institution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model</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minimized cross-PIP graph features recomputed separately inside every train/test subgraph</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Leakage control</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account-group split and graph-local feature construction; labels and typology membership do not cross partitions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Robustness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family heterogeneity, adaptive dispersion/timing changes and workload-at-fixed-alert-budget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Inference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graph-level paired differences, bootstrap interval, Wilcoxon test and exact sign test</w:t>
            </w:r>
          </w:p>
        </w:tc>
      </w:tr>
    </w:tbl>
    <w:p>
      <w:pPr>
        <w:spacing w:after="20"/>
      </w:pPr>
    </w:p>
    <w:p>
      <w:pPr>
        <w:spacing w:before="40" w:after="60"/>
        <w:jc w:val="center"/>
      </w:pPr>
      <w:r>
        <w:rPr>
          <w:rFonts w:ascii="Cambria Math" w:hAnsi="Cambria Math"/>
          <w:sz w:val="19"/>
        </w:rPr>
        <w:t>delta_i = AP_network,i - AP_local,i,   i = 1,...,16    (8)</w:t>
      </w:r>
    </w:p>
    <w:p>
      <w:pPr>
        <w:keepNext/>
        <w:spacing w:after="20"/>
        <w:jc w:val="center"/>
      </w:pPr>
      <w:r>
        <w:drawing>
          <wp:inline xmlns:a="http://schemas.openxmlformats.org/drawingml/2006/main" xmlns:pic="http://schemas.openxmlformats.org/drawingml/2006/picture">
            <wp:extent cx="5760720" cy="3076748"/>
            <wp:docPr id="8" name="Picture 8" title="aml v7 families" descr="Figure 8. Mean PR-AUC difference by independent generator family."/>
            <wp:cNvGraphicFramePr>
              <a:graphicFrameLocks noChangeAspect="1"/>
            </wp:cNvGraphicFramePr>
            <a:graphic>
              <a:graphicData uri="http://schemas.openxmlformats.org/drawingml/2006/picture">
                <pic:pic>
                  <pic:nvPicPr>
                    <pic:cNvPr id="0" name="aml_v7_families.png"/>
                    <pic:cNvPicPr/>
                  </pic:nvPicPr>
                  <pic:blipFill>
                    <a:blip r:embed="rId18"/>
                    <a:stretch>
                      <a:fillRect/>
                    </a:stretch>
                  </pic:blipFill>
                  <pic:spPr>
                    <a:xfrm>
                      <a:off x="0" y="0"/>
                      <a:ext cx="5760720" cy="3076748"/>
                    </a:xfrm>
                    <a:prstGeom prst="rect"/>
                  </pic:spPr>
                </pic:pic>
              </a:graphicData>
            </a:graphic>
          </wp:inline>
        </w:drawing>
      </w:r>
    </w:p>
    <w:p>
      <w:pPr>
        <w:pStyle w:val="Caption"/>
        <w:jc w:val="center"/>
      </w:pPr>
      <w:r>
        <w:t>Figure 8. Mean PR-AUC difference by independent generator family.</w:t>
      </w:r>
    </w:p>
    <w:p>
      <w:pPr>
        <w:pStyle w:val="Caption"/>
        <w:keepNext/>
      </w:pPr>
      <w:r>
        <w:t>Table 10. Family-specific AML effects.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Family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Mean difference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SD of difference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calendar payroll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0.383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+0.078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0.020</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merchant network</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0.398</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0.405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0.086</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profile mix</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0.499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+0.037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0.092</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remittance corridor</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0.376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0.486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+0.110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0.067</w:t>
            </w:r>
          </w:p>
        </w:tc>
      </w:tr>
    </w:tbl>
    <w:p>
      <w:pPr>
        <w:spacing w:after="20"/>
      </w:pPr>
    </w:p>
    <w:p>
      <w:pPr>
        <w:pStyle w:val="BodyText"/>
      </w:pPr>
      <w:r>
        <w:t>Across all sixteen graphs, the mean paired difference is +0.058; the bootstrap 95% interval is 0.021 to 0.093, the paired Wilcoxon p-value is 0.0131, and the exact sign-test p-value is 0.0768. Twelve of sixteen graphs show a positive effect. The merchant-network family has a near-zero mean and high dispersion, while remittance-corridor graphs show the largest average gain. This heterogeneity is a central result: network analytics can help, but not uniformly.</w:t>
      </w:r>
    </w:p>
    <w:p>
      <w:pPr>
        <w:pStyle w:val="Caption"/>
        <w:keepNext/>
      </w:pPr>
      <w:r>
        <w:t>Table 11. Predictive workload at fixed alert budgets.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 budget</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Alerts / million</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0.625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5,000</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0.516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w:t>
            </w:r>
          </w:p>
        </w:tc>
      </w:tr>
    </w:tbl>
    <w:p>
      <w:pPr>
        <w:spacing w:after="20"/>
      </w:pPr>
    </w:p>
    <w:p>
      <w:pPr>
        <w:pStyle w:val="BodyText"/>
      </w:pPr>
      <w:r>
        <w:t>Even where ranking improves, recall at small alert budgets remains low. Production evaluation must therefore be prospective and outcome-based: evidence sufficiency, investigator time, escalation, repeat alerts, SAR/STR quality, FIU feedback, restraint or recovery, network disruption, complaints and subgroup harm. Model outputs remain decision support and never automatic guilt determinations.</w:t>
      </w:r>
    </w:p>
    <w:p>
      <w:r>
        <w:br w:type="page"/>
      </w:r>
    </w:p>
    <w:p>
      <w:pPr>
        <w:pStyle w:val="Heading1"/>
        <w:keepNext/>
      </w:pPr>
      <w:r>
        <w:t>7. Sanctions evaluation as an operational decision system</w:t>
      </w:r>
    </w:p>
    <w:p>
      <w:pPr>
        <w:keepNext/>
        <w:spacing w:after="20"/>
        <w:jc w:val="center"/>
      </w:pPr>
      <w:r>
        <w:drawing>
          <wp:inline xmlns:a="http://schemas.openxmlformats.org/drawingml/2006/main" xmlns:pic="http://schemas.openxmlformats.org/drawingml/2006/picture">
            <wp:extent cx="6126480" cy="3141665"/>
            <wp:docPr id="9" name="Picture 9" title="v7 sanctions workflow" descr="Figure 9. Sanctions screening from official-list ingestion to analyst and ownership decisions."/>
            <wp:cNvGraphicFramePr>
              <a:graphicFrameLocks noChangeAspect="1"/>
            </wp:cNvGraphicFramePr>
            <a:graphic>
              <a:graphicData uri="http://schemas.openxmlformats.org/drawingml/2006/picture">
                <pic:pic>
                  <pic:nvPicPr>
                    <pic:cNvPr id="0" name="v7_sanctions_workflow.png"/>
                    <pic:cNvPicPr/>
                  </pic:nvPicPr>
                  <pic:blipFill>
                    <a:blip r:embed="rId19"/>
                    <a:stretch>
                      <a:fillRect/>
                    </a:stretch>
                  </pic:blipFill>
                  <pic:spPr>
                    <a:xfrm>
                      <a:off x="0" y="0"/>
                      <a:ext cx="6126480" cy="3141665"/>
                    </a:xfrm>
                    <a:prstGeom prst="rect"/>
                  </pic:spPr>
                </pic:pic>
              </a:graphicData>
            </a:graphic>
          </wp:inline>
        </w:drawing>
      </w:r>
    </w:p>
    <w:p>
      <w:pPr>
        <w:pStyle w:val="Caption"/>
        <w:jc w:val="center"/>
      </w:pPr>
      <w:r>
        <w:t>Figure 9. Sanctions screening from official-list ingestion to analyst and ownership decisions.</w:t>
      </w:r>
    </w:p>
    <w:p>
      <w:pPr>
        <w:pStyle w:val="BodyText"/>
      </w:pPr>
      <w:r>
        <w:t>Sanctions screening is a staged decision process, not a string-similarity threshold. Official records and aliases are versioned; candidate retrieval uses multilingual, token and phonetic representations; an evidence model incorporates names, dates and places of birth, nationality, address and entity type; thresholds are selected on a calibration set; analysts decide disposition under the applicable programme and licensing rules; and ownership is evaluated separately, including direct and indirect aggregate control [11]-[13].</w:t>
      </w:r>
    </w:p>
    <w:p>
      <w:pPr>
        <w:pStyle w:val="Caption"/>
        <w:keepNext/>
      </w:pPr>
      <w:r>
        <w:t>Table 12. Sanctions 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input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19,178 OFAC records and 20,010 official aliases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Positive split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sanctioned entities disjoint across training, calibration and test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Perturbations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 official alias, OCR, token order, transliteration and sparse-attribute cases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Negative population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generated multilingual legitimate identities and hard near matches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Calibration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selected before held-out test; Brier score and calibration error reported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Ownership</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500 randomized monotonicity property tests for direct and indirect aggregate ownership</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Boundary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live customer population, independent multilingual analyst adjudication or live corporate registry</w:t>
            </w:r>
          </w:p>
        </w:tc>
      </w:tr>
    </w:tbl>
    <w:p>
      <w:pPr>
        <w:spacing w:after="20"/>
      </w:pPr>
    </w:p>
    <w:p>
      <w:pPr>
        <w:keepNext/>
        <w:spacing w:after="20"/>
        <w:jc w:val="center"/>
      </w:pPr>
      <w:r>
        <w:drawing>
          <wp:inline xmlns:a="http://schemas.openxmlformats.org/drawingml/2006/main" xmlns:pic="http://schemas.openxmlformats.org/drawingml/2006/picture">
            <wp:extent cx="5760720" cy="3076748"/>
            <wp:docPr id="10" name="Picture 10" title="sanctions v7 policy frontier" descr="Figure 10. Calibrated sanctions policy frontier: recall and false-positive trade-off."/>
            <wp:cNvGraphicFramePr>
              <a:graphicFrameLocks noChangeAspect="1"/>
            </wp:cNvGraphicFramePr>
            <a:graphic>
              <a:graphicData uri="http://schemas.openxmlformats.org/drawingml/2006/picture">
                <pic:pic>
                  <pic:nvPicPr>
                    <pic:cNvPr id="0" name="sanctions_v7_policy_frontier.png"/>
                    <pic:cNvPicPr/>
                  </pic:nvPicPr>
                  <pic:blipFill>
                    <a:blip r:embed="rId20"/>
                    <a:stretch>
                      <a:fillRect/>
                    </a:stretch>
                  </pic:blipFill>
                  <pic:spPr>
                    <a:xfrm>
                      <a:off x="0" y="0"/>
                      <a:ext cx="5760720" cy="3076748"/>
                    </a:xfrm>
                    <a:prstGeom prst="rect"/>
                  </pic:spPr>
                </pic:pic>
              </a:graphicData>
            </a:graphic>
          </wp:inline>
        </w:drawing>
      </w:r>
    </w:p>
    <w:p>
      <w:pPr>
        <w:pStyle w:val="Caption"/>
        <w:jc w:val="center"/>
      </w:pPr>
      <w:r>
        <w:t>Figure 10. Calibrated sanctions policy frontier: recall and false-positive trade-off.</w:t>
      </w:r>
    </w:p>
    <w:p>
      <w:pPr>
        <w:pStyle w:val="Caption"/>
        <w:keepNext/>
      </w:pPr>
      <w:r>
        <w:t>Table 13. Calibrated screening policies.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Threshold</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False-positive rate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precision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0.05286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0.808</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0.731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0.00357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0.983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0.00071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0.996</w:t>
            </w:r>
          </w:p>
        </w:tc>
      </w:tr>
    </w:tbl>
    <w:p>
      <w:pPr>
        <w:spacing w:after="20"/>
      </w:pPr>
    </w:p>
    <w:p>
      <w:pPr>
        <w:spacing w:before="40" w:after="60"/>
        <w:jc w:val="center"/>
      </w:pPr>
      <w:r>
        <w:rPr>
          <w:rFonts w:ascii="Cambria Math" w:hAnsi="Cambria Math"/>
          <w:sz w:val="19"/>
        </w:rPr>
        <w:t>PPV(pi) = Recall*pi / [Recall*pi + FPR*(1-pi)]    (9)</w:t>
      </w:r>
    </w:p>
    <w:p>
      <w:pPr>
        <w:spacing w:before="40" w:after="60"/>
        <w:jc w:val="center"/>
      </w:pPr>
      <w:r>
        <w:rPr>
          <w:rFonts w:ascii="Cambria Math" w:hAnsi="Cambria Math"/>
          <w:sz w:val="19"/>
        </w:rPr>
        <w:t>Analyst hours = (true alerts + false alerts) * minutes_per_alert / 60    (10)</w:t>
      </w:r>
    </w:p>
    <w:p>
      <w:pPr>
        <w:keepNext/>
        <w:spacing w:after="20"/>
        <w:jc w:val="center"/>
      </w:pPr>
      <w:r>
        <w:drawing>
          <wp:inline xmlns:a="http://schemas.openxmlformats.org/drawingml/2006/main" xmlns:pic="http://schemas.openxmlformats.org/drawingml/2006/picture">
            <wp:extent cx="5760720" cy="3076748"/>
            <wp:docPr id="11" name="Picture 11" title="sanctions v7 workload" descr="Figure 11. Prevalence-adjusted analyst workload across calibrated policies."/>
            <wp:cNvGraphicFramePr>
              <a:graphicFrameLocks noChangeAspect="1"/>
            </wp:cNvGraphicFramePr>
            <a:graphic>
              <a:graphicData uri="http://schemas.openxmlformats.org/drawingml/2006/picture">
                <pic:pic>
                  <pic:nvPicPr>
                    <pic:cNvPr id="0" name="sanctions_v7_workload.png"/>
                    <pic:cNvPicPr/>
                  </pic:nvPicPr>
                  <pic:blipFill>
                    <a:blip r:embed="rId21"/>
                    <a:stretch>
                      <a:fillRect/>
                    </a:stretch>
                  </pic:blipFill>
                  <pic:spPr>
                    <a:xfrm>
                      <a:off x="0" y="0"/>
                      <a:ext cx="5760720" cy="3076748"/>
                    </a:xfrm>
                    <a:prstGeom prst="rect"/>
                  </pic:spPr>
                </pic:pic>
              </a:graphicData>
            </a:graphic>
          </wp:inline>
        </w:drawing>
      </w:r>
    </w:p>
    <w:p>
      <w:pPr>
        <w:pStyle w:val="Caption"/>
        <w:jc w:val="center"/>
      </w:pPr>
      <w:r>
        <w:t>Figure 11. Prevalence-adjusted analyst workload across calibrated policies.</w:t>
      </w:r>
    </w:p>
    <w:p>
      <w:pPr>
        <w:pStyle w:val="Caption"/>
        <w:keepNext/>
      </w:pPr>
      <w:r>
        <w:t>Table 14. Prevalence-adjusted workload illustration.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 at 0.01% prevalence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PPV</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True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Analyst hours / million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52,852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6,177</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2.39%</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3,571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427</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714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92</w:t>
            </w:r>
          </w:p>
        </w:tc>
      </w:tr>
    </w:tbl>
    <w:p>
      <w:pPr>
        <w:spacing w:after="20"/>
      </w:pPr>
    </w:p>
    <w:p>
      <w:pPr>
        <w:pStyle w:val="Caption"/>
        <w:keepNext/>
      </w:pPr>
      <w:r>
        <w:t>Table 15. Recall by evidence and perturbation class.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Held-out perturbation class</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 at balanced policy</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Positive queries</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ocr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0.867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alias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sparse attributes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0.617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token order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0.967</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transliteration</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0.933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bl>
    <w:p>
      <w:pPr>
        <w:spacing w:after="20"/>
      </w:pPr>
    </w:p>
    <w:p>
      <w:pPr>
        <w:pStyle w:val="BodyText"/>
      </w:pPr>
      <w:r>
        <w:t>The balanced policy obtains recall 0.874 and false-positive rate 0.00357 in the held-out benchmark. Benchmark precision is high because positives are deliberately overrepresented. At a 0.01% operational prevalence, the same rates imply only 2.39% positive predictive value and approximately 3,571 false alerts per million screenings. The low-workload policy reduces false alerts to approximately 714 per million but recall falls to 0.757. Sparse-attribute recall is 0.617. The real-world solution is therefore a risk-tiered frontier: high-recall policies for narrow high-risk cohorts, lower-workload policies for broad low-prevalence populations, analyst reason codes, workload caps, periodic calibration, and mandatory escalation when ownership or evidence is ambiguous.</w:t>
      </w:r>
    </w:p>
    <w:p>
      <w:pPr>
        <w:pStyle w:val="Heading1"/>
        <w:keepNext/>
      </w:pPr>
      <w:r>
        <w:t>8. Economic policy identification and adaptive guardrails</w:t>
      </w:r>
    </w:p>
    <w:p>
      <w:pPr>
        <w:keepNext/>
        <w:spacing w:after="20"/>
        <w:jc w:val="center"/>
      </w:pPr>
      <w:r>
        <w:drawing>
          <wp:inline xmlns:a="http://schemas.openxmlformats.org/drawingml/2006/main" xmlns:pic="http://schemas.openxmlformats.org/drawingml/2006/picture">
            <wp:extent cx="6080760" cy="3118219"/>
            <wp:docPr id="12" name="Picture 12" title="v7 economic decision" descr="Figure 12. From jurisdictional data to a partially identified and adaptively governed policy set."/>
            <wp:cNvGraphicFramePr>
              <a:graphicFrameLocks noChangeAspect="1"/>
            </wp:cNvGraphicFramePr>
            <a:graphic>
              <a:graphicData uri="http://schemas.openxmlformats.org/drawingml/2006/picture">
                <pic:pic>
                  <pic:nvPicPr>
                    <pic:cNvPr id="0" name="v7_economic_decision.png"/>
                    <pic:cNvPicPr/>
                  </pic:nvPicPr>
                  <pic:blipFill>
                    <a:blip r:embed="rId22"/>
                    <a:stretch>
                      <a:fillRect/>
                    </a:stretch>
                  </pic:blipFill>
                  <pic:spPr>
                    <a:xfrm>
                      <a:off x="0" y="0"/>
                      <a:ext cx="6080760" cy="3118219"/>
                    </a:xfrm>
                    <a:prstGeom prst="rect"/>
                  </pic:spPr>
                </pic:pic>
              </a:graphicData>
            </a:graphic>
          </wp:inline>
        </w:drawing>
      </w:r>
    </w:p>
    <w:p>
      <w:pPr>
        <w:pStyle w:val="Caption"/>
        <w:jc w:val="center"/>
      </w:pPr>
      <w:r>
        <w:t>Figure 12. From jurisdictional data to a partially identified and adaptively governed policy set.</w:t>
      </w:r>
    </w:p>
    <w:p>
      <w:pPr>
        <w:pStyle w:val="BodyText"/>
      </w:pPr>
      <w:r>
        <w:t>A universally correct CBDC holding limit cannot be inferred from public cross-country evidence. The relevant decision combines a holding threshold H, a system and user conversion-flow limit F, tiered remuneration r, automatic sweeps and liquidity facilities. The policy problem is partially identified because household demand, bank replacement funding, crisis behavior and distributional preferences vary across jurisdictions.</w:t>
      </w:r>
    </w:p>
    <w:p>
      <w:pPr>
        <w:pStyle w:val="BodyText"/>
      </w:pPr>
      <w:r>
        <w:t>A transparent first constraint bounds gross CBDC exposure. Let D be eligible household deposits, N the eligible population, a the adoption share and tau the maximum accepted gross exposure share. Then:</w:t>
      </w:r>
    </w:p>
    <w:p>
      <w:pPr>
        <w:spacing w:before="40" w:after="60"/>
        <w:jc w:val="center"/>
      </w:pPr>
      <w:r>
        <w:rPr>
          <w:rFonts w:ascii="Cambria Math" w:hAnsi="Cambria Math"/>
          <w:sz w:val="19"/>
        </w:rPr>
        <w:t>H &lt;= tau D / (N a)    (11)</w:t>
      </w:r>
    </w:p>
    <w:p>
      <w:pPr>
        <w:pStyle w:val="BodyText"/>
      </w:pPr>
      <w:r>
        <w:t>Using the public euro-area deposit anchor D=EUR 9.861 trillion, N=300 million, a=1 and tau=5% yields an illustrative ceiling H&lt;=EUR 1,643. This is not a policy recommendation: lowering adoption to 50% doubles the arithmetic ceiling, and selecting 3%, 7.5% or 10% exposure tolerances changes it materially. The purpose is to expose the normative and empirical assumptions instead of hiding them in a single number.</w:t>
      </w:r>
    </w:p>
    <w:p>
      <w:pPr>
        <w:keepNext/>
        <w:spacing w:after="20"/>
        <w:jc w:val="center"/>
      </w:pPr>
      <w:r>
        <w:drawing>
          <wp:inline xmlns:a="http://schemas.openxmlformats.org/drawingml/2006/main" xmlns:pic="http://schemas.openxmlformats.org/drawingml/2006/picture">
            <wp:extent cx="5806440" cy="3101167"/>
            <wp:docPr id="13" name="Picture 13" title="economic v7 identified set" descr="Figure 13. Illustrative holding-limit ceilings across exposure tolerances, eligible populations and adoption shares."/>
            <wp:cNvGraphicFramePr>
              <a:graphicFrameLocks noChangeAspect="1"/>
            </wp:cNvGraphicFramePr>
            <a:graphic>
              <a:graphicData uri="http://schemas.openxmlformats.org/drawingml/2006/picture">
                <pic:pic>
                  <pic:nvPicPr>
                    <pic:cNvPr id="0" name="economic_v7_identified_set.png"/>
                    <pic:cNvPicPr/>
                  </pic:nvPicPr>
                  <pic:blipFill>
                    <a:blip r:embed="rId23"/>
                    <a:stretch>
                      <a:fillRect/>
                    </a:stretch>
                  </pic:blipFill>
                  <pic:spPr>
                    <a:xfrm>
                      <a:off x="0" y="0"/>
                      <a:ext cx="5806440" cy="3101167"/>
                    </a:xfrm>
                    <a:prstGeom prst="rect"/>
                  </pic:spPr>
                </pic:pic>
              </a:graphicData>
            </a:graphic>
          </wp:inline>
        </w:drawing>
      </w:r>
    </w:p>
    <w:p>
      <w:pPr>
        <w:pStyle w:val="Caption"/>
        <w:jc w:val="center"/>
      </w:pPr>
      <w:r>
        <w:t>Figure 13. Illustrative holding-limit ceilings across exposure tolerances, eligible populations and adoption shares.</w:t>
      </w:r>
    </w:p>
    <w:p>
      <w:pPr>
        <w:pStyle w:val="Caption"/>
        <w:keepNext/>
      </w:pPr>
      <w:r>
        <w:t>Table 16. Illustrative candidate limits under one exposure definition.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Holding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Gross exposure share (300m, full adoption)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5%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10%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Relation to BIS structural point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1,500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4.56%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1,750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5.32%</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2,000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2,500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7.61%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3,000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9.13%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bl>
    <w:p>
      <w:pPr>
        <w:spacing w:after="20"/>
      </w:pPr>
    </w:p>
    <w:p>
      <w:pPr>
        <w:pStyle w:val="BodyText"/>
      </w:pPr>
      <w:r>
        <w:t>The policy authority should choose within the feasible set by minimizing expected and tail loss over an uncertainty set U. Let theta=(H,F,r) and L combine bank funding stress, payment-utility loss, exclusion and distributional burden:</w:t>
      </w:r>
    </w:p>
    <w:p>
      <w:pPr>
        <w:spacing w:before="40" w:after="60"/>
        <w:jc w:val="center"/>
      </w:pPr>
      <w:r>
        <w:rPr>
          <w:rFonts w:ascii="Cambria Math" w:hAnsi="Cambria Math"/>
          <w:sz w:val="19"/>
        </w:rPr>
        <w:t>theta* = arg min_(theta in Theta) max_(P in U) { E_P[L(theta,S)] + lambda CVaR_alpha[L(theta,S)] }    (12)</w:t>
      </w:r>
    </w:p>
    <w:p>
      <w:pPr>
        <w:pStyle w:val="BodyText"/>
      </w:pPr>
      <w:r>
        <w:t>The optimization is subject to bank-level liquidity and funding constraints, ordinary-payment utility, accessibility, consumer-protection and legal constraints. A robust-regret or CVaR formulation does not create missing evidence; it makes uncertainty explicit. The parameter set must be updated on a predeclared schedule using survey data, pilot holdings, bank balance sheets, liquidity-facility use, deposit repricing, subgroup outcomes and stress simulations.</w:t>
      </w:r>
    </w:p>
    <w:p>
      <w:pPr>
        <w:spacing w:before="40" w:after="60"/>
        <w:jc w:val="center"/>
      </w:pPr>
      <w:r>
        <w:rPr>
          <w:rFonts w:ascii="Cambria Math" w:hAnsi="Cambria Math"/>
          <w:sz w:val="19"/>
        </w:rPr>
        <w:t>Minimum binding days = ceil(desired conversion share / daily system flow share)    (13)</w:t>
      </w:r>
    </w:p>
    <w:p>
      <w:pPr>
        <w:pStyle w:val="Caption"/>
        <w:keepNext/>
      </w:pPr>
      <w:r>
        <w:t>Table 17. Mechanical duration imposed by system-wide flow limits (days).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Desired conversion share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0.25%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1%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2% daily limit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Policy conclusion. </w:t>
            </w:r>
            <w:r>
              <w:t>The valid scientific output is a jurisdiction-specific feasible set, uncertainty interval and transparent update rule - not one global holding-limit number.</w:t>
            </w:r>
          </w:p>
        </w:tc>
      </w:tr>
    </w:tbl>
    <w:p>
      <w:pPr>
        <w:spacing w:after="20"/>
      </w:pPr>
    </w:p>
    <w:p>
      <w:r>
        <w:br w:type="page"/>
      </w:r>
    </w:p>
    <w:p>
      <w:pPr>
        <w:pStyle w:val="Heading1"/>
        <w:keepNext/>
      </w:pPr>
      <w:r>
        <w:t>9. National-scale qualification: from lower bounds to physical evidence</w:t>
      </w:r>
    </w:p>
    <w:p>
      <w:pPr>
        <w:keepNext/>
        <w:spacing w:after="20"/>
        <w:jc w:val="center"/>
      </w:pPr>
      <w:r>
        <w:drawing>
          <wp:inline xmlns:a="http://schemas.openxmlformats.org/drawingml/2006/main" xmlns:pic="http://schemas.openxmlformats.org/drawingml/2006/picture">
            <wp:extent cx="6126480" cy="3448340"/>
            <wp:docPr id="14" name="Picture 14" title="v7 national qualification" descr="Figure 14. Four-stage national-scale qualification and the claim boundary."/>
            <wp:cNvGraphicFramePr>
              <a:graphicFrameLocks noChangeAspect="1"/>
            </wp:cNvGraphicFramePr>
            <a:graphic>
              <a:graphicData uri="http://schemas.openxmlformats.org/drawingml/2006/picture">
                <pic:pic>
                  <pic:nvPicPr>
                    <pic:cNvPr id="0" name="v7_national_qualification.png"/>
                    <pic:cNvPicPr/>
                  </pic:nvPicPr>
                  <pic:blipFill>
                    <a:blip r:embed="rId24"/>
                    <a:stretch>
                      <a:fillRect/>
                    </a:stretch>
                  </pic:blipFill>
                  <pic:spPr>
                    <a:xfrm>
                      <a:off x="0" y="0"/>
                      <a:ext cx="6126480" cy="3448340"/>
                    </a:xfrm>
                    <a:prstGeom prst="rect"/>
                  </pic:spPr>
                </pic:pic>
              </a:graphicData>
            </a:graphic>
          </wp:inline>
        </w:drawing>
      </w:r>
    </w:p>
    <w:p>
      <w:pPr>
        <w:pStyle w:val="Caption"/>
        <w:jc w:val="center"/>
      </w:pPr>
      <w:r>
        <w:t>Figure 14. Four-stage national-scale qualification and the claim boundary.</w:t>
      </w:r>
    </w:p>
    <w:p>
      <w:pPr>
        <w:pStyle w:val="BodyText"/>
      </w:pPr>
      <w:r>
        <w:t>A capacity equation cannot guarantee sufficient hardware because service times, queueing, replication, synchronization, HSM saturation, database contention, network loss and recovery interact nonlinearly. The paper therefore uses a hierarchy. Stage 1 derives a necessary analytical lower bound. Stage 2 runs a trace-driven tandem-queue digital twin with bursts and faults. Stage 3 executes the same predeclared workload on physical multi-region infrastructure with certified cryptographic hardware. Stage 4 verifies operations under a controlled external pilot. National-scale performance is demonstrated only after Stages 3 and 4 pass.</w:t>
      </w:r>
    </w:p>
    <w:p>
      <w:pPr>
        <w:pStyle w:val="BodyText"/>
      </w:pPr>
      <w:r>
        <w:t>For stage j with qualification arrival rate lambda, mean service demand s_j, headroom multiplier h and maximum planned utilization rho_max, a necessary lower bound on parallel units is:</w:t>
      </w:r>
    </w:p>
    <w:p>
      <w:pPr>
        <w:spacing w:before="40" w:after="60"/>
        <w:jc w:val="center"/>
      </w:pPr>
      <w:r>
        <w:rPr>
          <w:rFonts w:ascii="Cambria Math" w:hAnsi="Cambria Math"/>
          <w:sz w:val="19"/>
        </w:rPr>
        <w:t>n_j &gt;= ceil(lambda h s_j / rho_max)    (14)</w:t>
      </w:r>
    </w:p>
    <w:p>
      <w:pPr>
        <w:pStyle w:val="BodyText"/>
      </w:pPr>
      <w:r>
        <w:t>This lower bound is intentionally not a guarantee. In the digital twin, each stage is represented as a finite-server queue with time-varying arrivals. Approximate stage utilization is:</w:t>
      </w:r>
    </w:p>
    <w:p>
      <w:pPr>
        <w:spacing w:before="40" w:after="60"/>
        <w:jc w:val="center"/>
      </w:pPr>
      <w:r>
        <w:rPr>
          <w:rFonts w:ascii="Cambria Math" w:hAnsi="Cambria Math"/>
          <w:sz w:val="19"/>
        </w:rPr>
        <w:t>rho_j(t) = lambda(t) s_j / n_j    (15)</w:t>
      </w:r>
    </w:p>
    <w:p>
      <w:pPr>
        <w:pStyle w:val="BodyText"/>
      </w:pPr>
      <w:r>
        <w:t>The system passes only when the empirical latency and recovery distributions satisfy predeclared service objectives under normal, burst, region-loss, HSM-slowdown and overload-control scenarios. The model includes API/authentication, policy/sanctions, HSM verification, monetary transition and durable audit stages. Its service demands are declared scenario inputs, not measurements of a production system.</w:t>
      </w:r>
    </w:p>
    <w:p>
      <w:pPr>
        <w:keepNext/>
        <w:spacing w:after="20"/>
        <w:jc w:val="center"/>
      </w:pPr>
      <w:r>
        <w:drawing>
          <wp:inline xmlns:a="http://schemas.openxmlformats.org/drawingml/2006/main" xmlns:pic="http://schemas.openxmlformats.org/drawingml/2006/picture">
            <wp:extent cx="5806440" cy="3096768"/>
            <wp:docPr id="15" name="Picture 15" title="performance v7 scenarios" descr="Figure 15. Trace-driven digital-twin p99 latency across workload and failure scenarios."/>
            <wp:cNvGraphicFramePr>
              <a:graphicFrameLocks noChangeAspect="1"/>
            </wp:cNvGraphicFramePr>
            <a:graphic>
              <a:graphicData uri="http://schemas.openxmlformats.org/drawingml/2006/picture">
                <pic:pic>
                  <pic:nvPicPr>
                    <pic:cNvPr id="0" name="performance_v7_scenarios.png"/>
                    <pic:cNvPicPr/>
                  </pic:nvPicPr>
                  <pic:blipFill>
                    <a:blip r:embed="rId25"/>
                    <a:stretch>
                      <a:fillRect/>
                    </a:stretch>
                  </pic:blipFill>
                  <pic:spPr>
                    <a:xfrm>
                      <a:off x="0" y="0"/>
                      <a:ext cx="5806440" cy="3096768"/>
                    </a:xfrm>
                    <a:prstGeom prst="rect"/>
                  </pic:spPr>
                </pic:pic>
              </a:graphicData>
            </a:graphic>
          </wp:inline>
        </w:drawing>
      </w:r>
    </w:p>
    <w:p>
      <w:pPr>
        <w:pStyle w:val="Caption"/>
        <w:jc w:val="center"/>
      </w:pPr>
      <w:r>
        <w:t>Figure 15. Trace-driven digital-twin p99 latency across workload and failure scenarios.</w:t>
      </w:r>
    </w:p>
    <w:p>
      <w:pPr>
        <w:pStyle w:val="Caption"/>
        <w:keepNext/>
      </w:pPr>
      <w:r>
        <w:t>Table 18. Digital-twin scenario outcomes.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Scenario</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Observed TPS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Cross-border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Region loss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SLO</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TIPS-reference steady</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1,995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298.0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FuSSE-reference steady</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9,982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73.5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298.6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FuSSE-reference burst</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300.5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10k with one region unavailable</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9,721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480.9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10k with HSM service doubled</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9,923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20k qualification stress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18,616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74.0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301.7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40k overload control with region loss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36,608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8,432.2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479.8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FAIL</w:t>
            </w:r>
          </w:p>
        </w:tc>
      </w:tr>
    </w:tbl>
    <w:p>
      <w:pPr>
        <w:spacing w:after="20"/>
      </w:pPr>
    </w:p>
    <w:p>
      <w:pPr>
        <w:pStyle w:val="BodyText"/>
      </w:pPr>
      <w:r>
        <w:t>The declared 2,000-20,000 TPS scenarios satisfy the candidate two-second domestic p99 objective in the model. A 40,000 TPS overload with one region unavailable reaches p99 8.43 seconds and fails. This failure is valuable: it demonstrates that the model can falsify a capacity claim instead of being tuned to pass every scenario. Cross-border p99 remains below 0.5 seconds in the model because its modeled certificate path is not the congested bottleneck; physical qualification must verify whether this remains true with production consensus and cryptography.</w:t>
      </w:r>
    </w:p>
    <w:p>
      <w:pPr>
        <w:keepNext/>
        <w:spacing w:after="20"/>
        <w:jc w:val="center"/>
      </w:pPr>
      <w:r>
        <w:drawing>
          <wp:inline xmlns:a="http://schemas.openxmlformats.org/drawingml/2006/main" xmlns:pic="http://schemas.openxmlformats.org/drawingml/2006/picture">
            <wp:extent cx="5715000" cy="3048000"/>
            <wp:docPr id="16" name="Picture 16" title="performance v7 capacity bounds" descr="Figure 16. Analytical lower-bound units by stage and qualification workload."/>
            <wp:cNvGraphicFramePr>
              <a:graphicFrameLocks noChangeAspect="1"/>
            </wp:cNvGraphicFramePr>
            <a:graphic>
              <a:graphicData uri="http://schemas.openxmlformats.org/drawingml/2006/picture">
                <pic:pic>
                  <pic:nvPicPr>
                    <pic:cNvPr id="0" name="performance_v7_capacity_bounds.png"/>
                    <pic:cNvPicPr/>
                  </pic:nvPicPr>
                  <pic:blipFill>
                    <a:blip r:embed="rId26"/>
                    <a:stretch>
                      <a:fillRect/>
                    </a:stretch>
                  </pic:blipFill>
                  <pic:spPr>
                    <a:xfrm>
                      <a:off x="0" y="0"/>
                      <a:ext cx="5715000" cy="3048000"/>
                    </a:xfrm>
                    <a:prstGeom prst="rect"/>
                  </pic:spPr>
                </pic:pic>
              </a:graphicData>
            </a:graphic>
          </wp:inline>
        </w:drawing>
      </w:r>
    </w:p>
    <w:p>
      <w:pPr>
        <w:pStyle w:val="Caption"/>
        <w:jc w:val="center"/>
      </w:pPr>
      <w:r>
        <w:t>Figure 16. Analytical lower-bound units by stage and qualification workload.</w:t>
      </w:r>
    </w:p>
    <w:p>
      <w:pPr>
        <w:pStyle w:val="Caption"/>
        <w:keepNext/>
      </w:pPr>
      <w:r>
        <w:t>Table 19. Necessary parallel-unit lower bounds (2x headroom, 60% planned utilization).</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Qualification load</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API/auth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Policy/sanctions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HSM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Monetary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Audit units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24</w:t>
            </w:r>
          </w:p>
        </w:tc>
      </w:tr>
    </w:tbl>
    <w:p>
      <w:pPr>
        <w:spacing w:after="20"/>
      </w:pPr>
    </w:p>
    <w:p>
      <w:pPr>
        <w:pStyle w:val="Caption"/>
        <w:keepNext/>
      </w:pPr>
      <w:r>
        <w:t>Table 20. Mandatory physical and pilot acceptance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Physical qualification dimension</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Required evidence before a national claim</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Topology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 least three independent regions/failure domains; measured inter-region distributions and operator map</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Cryptography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Certified HSM throughput, threshold ceremonies, queue saturation, rotation, revocation and recovery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Workload</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Open-loop and closed-loop PIP mix; realistic amount, identity, sanctions and reconciliation paths; sustained 2x observed peak</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Faults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Region loss, partitions, stale rules, disk corruption, signer/PIP outages, network degradation and controlled overload</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State safety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monetary-invariant violation, duplicate economic effect, conflicting terminal state or unbounded escrow</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Operations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RTO/RPO, reconciliation, fraud/support operations, change control, incident exercises and audit closure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External validation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observer, reproducible load traces, public result summary and controlled pilot exit decision</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National-scale status. </w:t>
            </w:r>
            <w:r>
              <w:t>The manuscript supplies an analytical bound, a reproducible digital-twin falsification test and a complete physical qualification protocol. It does not claim that national-scale performance has already been demonstrated.</w:t>
            </w:r>
          </w:p>
        </w:tc>
      </w:tr>
    </w:tbl>
    <w:p>
      <w:pPr>
        <w:spacing w:after="20"/>
      </w:pPr>
    </w:p>
    <w:p>
      <w:pPr>
        <w:pStyle w:val="Heading1"/>
        <w:keepNext/>
      </w:pPr>
      <w:r>
        <w:t>10. Security, legal finality and governance</w:t>
      </w:r>
    </w:p>
    <w:p>
      <w:pPr>
        <w:pStyle w:val="BodyText"/>
      </w:pPr>
      <w:r>
        <w:t>CBDC is critical national infrastructure. Security controls include threshold HSM keys, separation of duties, deterministic replication, immutable evidence, independent reconciliation, software bills of materials, reproducible builds, certificate transparency, privacy access logs and cryptographic agility [21], [24], [25], [31]. General-purpose smart contracts do not receive issuance authority or unrestricted balance-write access. User-authorized conditional payments use audited templates and escrow primitives.</w:t>
      </w:r>
    </w:p>
    <w:p>
      <w:pPr>
        <w:pStyle w:val="Caption"/>
        <w:keepNext/>
      </w:pPr>
      <w:r>
        <w:t>Table 21. Security controls and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Risk</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Control and evidence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Issuance or decision-key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HSMs, amount/corridor limits, offline roots, witnessed ceremonies and rapid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Ledger corruption or equivocation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replication, state commitments, independent read replicas, reconciliation and restoration exercises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signed customer intent, identity-vault segregation, least privilege and certificate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Privacy insider abuse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purpose-based access, threshold disclosure, immutable logs and independent privacy authority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Model manipulation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data lineage, drift and evasion tests, reason codes, analyst review and model-risk governance</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Supply-chain attack</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SBOM, signed artifacts, reproducible build, independent review and staged release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Cryptographic transition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algorithm inventory, hybrid migration, re-signing plan and measured post-quantum overhead</w:t>
            </w:r>
          </w:p>
        </w:tc>
      </w:tr>
    </w:tbl>
    <w:p>
      <w:pPr>
        <w:spacing w:after="20"/>
      </w:pPr>
    </w:p>
    <w:p>
      <w:pPr>
        <w:pStyle w:val="BodyText"/>
      </w:pPr>
      <w:r>
        <w:t>Technical finality is insufficient without legal recognition. A corridor agreement must define the evidentiary status of PI, Q, CA/CB, PA/PB, PC and TC; quorum governance; liability for wrongful issuance or refusal; insolvency and FX-provider default; data transfer and sanctions duties; emergency suspension; dispute forum; and the domestic legal effect of finalization. A common protocol does not require identical laws, but each jurisdiction must map shared evidence to its own legal finality and supervisory framework [28]-[30], [32].</w:t>
      </w:r>
    </w:p>
    <w:p>
      <w:pPr>
        <w:pStyle w:val="Heading1"/>
        <w:keepNext/>
      </w:pPr>
      <w:r>
        <w:t>11. Claims-to-evidence register, limitations and research agenda</w:t>
      </w:r>
    </w:p>
    <w:p>
      <w:pPr>
        <w:pStyle w:val="Caption"/>
        <w:keepNext/>
      </w:pPr>
      <w:r>
        <w:t>Table 22. Claims-to-evidence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Claim</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Evidence reported</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Permitted conclusion</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External gate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Cross-border safety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state exploration, quorum argument, negative tests and lab prototype</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bounded safety under declared assumptions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refinement, certified HSM and physical multi-region fault testing</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Privacy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learned synthetic attacks, unseen users, generator shift and large ranking sets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measured residual metadata linkability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governed real traces and independent red team</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Differential privacy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explicit adjacency, sensitivity, utility and code-enforced accountant</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guarantee for registered histograms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independent implementation and release-governance audit</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AML/CFT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16 independent graphs, four families and graph-level inference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heterogeneous predictive improvement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prospective investigator, FIU, supervisory, disruption and harm outcomes</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Sanctions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full official-list index, entity-disjoint test, calibration and prevalence workload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laboratory screening frontier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real customer distribution, multilingual adjudication and live ownership data</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Economic policy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public anchors, partial identification and robust decision rule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conditional feasible set and update method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jurisdictional microdata, structural estimation and pilot evidence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National qualification</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lower bound, digital twin, overload failure and acceptance protocol</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falsifiable qualification methodology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physical regions, certified HSMs, sustained load and independent pilot</w:t>
            </w:r>
          </w:p>
        </w:tc>
      </w:tr>
    </w:tbl>
    <w:p>
      <w:pPr>
        <w:spacing w:after="20"/>
      </w:pPr>
    </w:p>
    <w:p>
      <w:pPr>
        <w:pStyle w:val="BodyText"/>
      </w:pPr>
      <w:r>
        <w:t>The principal limitations are deliberate and material. Privacy and AML experiments remain synthetic. The sanctions negative population is generated and does not reproduce every language, transliteration or customer-data quality problem. The economic illustration does not estimate behavioral parameters from microdata. The performance model uses declared service demands and cannot capture every implementation interaction. The cross-border fault model excludes indefinite denial of service, dynamic membership and post-compromise recovery. These limitations constrain the claims but make the research falsifiable.</w:t>
      </w:r>
    </w:p>
    <w:p>
      <w:pPr>
        <w:pStyle w:val="BodyText"/>
      </w:pPr>
      <w:r>
        <w:t>The next empirical programme is therefore preregistered around six institutional studies: governed multi-PIP privacy red-teaming; prospective AML investigator and FIU outcomes; multilingual sanctions adjudication with real customer distributions; bank- and household-level economic estimation; physical multi-region/HSM performance qualification; and independent legal, cryptographic and operational audit.</w:t>
      </w:r>
    </w:p>
    <w:p>
      <w:pPr>
        <w:pStyle w:val="Heading1"/>
        <w:keepNext/>
      </w:pPr>
      <w:r>
        <w:t>12. Conclusion</w:t>
      </w:r>
    </w:p>
    <w:p>
      <w:pPr>
        <w:pStyle w:val="BodyText"/>
      </w:pPr>
      <w:r>
        <w:t>A credible CBDC publication must distinguish architecture from evidence and evidence from deployment. The proposed system preserves monetary accounting and sovereign ledgers, binds cross-border finality to explicit evidence, quantifies rather than assumes privacy, restricts differential privacy to a formally specified release service, evaluates AML and sanctions under realistic workload boundaries, and treats the economic policy limit as partially identified and adaptive. For scale, the manuscript replaces a misleading hardware guarantee with a necessary lower bound, a trace-driven falsification model, physical acceptance criteria and an independently observed pilot gate. This combination provides a clean, reproducible and real-world research pathway while refusing to label laboratory results as national certification.</w:t>
      </w:r>
    </w:p>
    <w:p>
      <w:pPr>
        <w:pStyle w:val="Heading1"/>
        <w:keepNext/>
      </w:pPr>
      <w:r>
        <w:t>References</w:t>
      </w:r>
    </w:p>
    <w:p>
      <w:pPr>
        <w:pStyle w:val="BodyText"/>
        <w:spacing w:line="230" w:lineRule="auto" w:after="5"/>
      </w:pPr>
      <w:r>
        <w:rPr>
          <w:sz w:val="15"/>
        </w:rPr>
        <w:t>[1] A. Illes, A. Kosse and P. Wierts, “Advancing in tandem: results of the 2024 BIS survey on central bank digital currencies and crypto,” BIS Papers No. 159, Bank for International Settlements, 22 Aug. 2025.</w:t>
      </w:r>
    </w:p>
    <w:p>
      <w:pPr>
        <w:pStyle w:val="BodyText"/>
        <w:spacing w:line="230" w:lineRule="auto" w:after="5"/>
      </w:pPr>
      <w:r>
        <w:rPr>
          <w:sz w:val="15"/>
        </w:rPr>
        <w:t>[2] BIS Innovation Hub, “Project Icebreaker: Breaking new paths in cross-border retail CBDC payments,” Mar. 2023.</w:t>
      </w:r>
    </w:p>
    <w:p>
      <w:pPr>
        <w:pStyle w:val="BodyText"/>
        <w:spacing w:line="230" w:lineRule="auto" w:after="5"/>
      </w:pPr>
      <w:r>
        <w:rPr>
          <w:sz w:val="15"/>
        </w:rPr>
        <w:t>[3] BIS Innovation Hub, “Project Mandala: shaping the future of cross-border payments compliance,” Oct. 2024.</w:t>
      </w:r>
    </w:p>
    <w:p>
      <w:pPr>
        <w:pStyle w:val="BodyText"/>
        <w:spacing w:line="230" w:lineRule="auto" w:after="5"/>
      </w:pPr>
      <w:r>
        <w:rPr>
          <w:sz w:val="15"/>
        </w:rPr>
        <w:t>[4] BIS Innovation Hub and Institute of International Finance, “Project Agorá: exploring tokenisation of wholesale cross-border payments,” updated 30 Jul. 2026, https://www.bis.org/about/bisih/topics/fmis/agora.htm (accessed 29 Aug. 2026).</w:t>
      </w:r>
    </w:p>
    <w:p>
      <w:pPr>
        <w:pStyle w:val="BodyText"/>
        <w:spacing w:line="230" w:lineRule="auto" w:after="5"/>
      </w:pPr>
      <w:r>
        <w:rPr>
          <w:sz w:val="15"/>
        </w:rPr>
        <w:t>[5] BIS Innovation Hub, “Project FuSSE: exploring flexible, scalable and secure settlement engines,” 29 Jan. 2026.</w:t>
      </w:r>
    </w:p>
    <w:p>
      <w:pPr>
        <w:pStyle w:val="BodyText"/>
        <w:spacing w:line="230" w:lineRule="auto" w:after="5"/>
      </w:pPr>
      <w:r>
        <w:rPr>
          <w:sz w:val="15"/>
        </w:rPr>
        <w:t>[6] J. Gray and L. Lamport, “Consensus on transaction commit,” ACM Transactions on Database Systems, vol. 31, no. 1, pp. 133-160, 2006, doi:10.1145/1132863.1132867.</w:t>
      </w:r>
    </w:p>
    <w:p>
      <w:pPr>
        <w:pStyle w:val="BodyText"/>
        <w:spacing w:line="230" w:lineRule="auto" w:after="5"/>
      </w:pPr>
      <w:r>
        <w:rPr>
          <w:sz w:val="15"/>
        </w:rPr>
        <w:t>[7] M. Castro and B. Liskov, “Practical Byzantine fault tolerance,” Proc. OSDI, pp. 173-186, 1999.</w:t>
      </w:r>
    </w:p>
    <w:p>
      <w:pPr>
        <w:pStyle w:val="BodyText"/>
        <w:spacing w:line="230" w:lineRule="auto" w:after="5"/>
      </w:pPr>
      <w:r>
        <w:rPr>
          <w:sz w:val="15"/>
        </w:rPr>
        <w:t>[8] M. Yin, D. Malkhi, M. K. Reiter, G. G. Gueta and I. Abraham, “HotStuff: BFT consensus with linearity and responsiveness,” Proc. ACM PODC, pp. 347-356, 2019, doi:10.1145/3293611.3331591.</w:t>
      </w:r>
    </w:p>
    <w:p>
      <w:pPr>
        <w:pStyle w:val="BodyText"/>
        <w:spacing w:line="230" w:lineRule="auto" w:after="5"/>
      </w:pPr>
      <w:r>
        <w:rPr>
          <w:sz w:val="15"/>
        </w:rPr>
        <w:t>[9] NIST, “Guidelines for Evaluating Differential Privacy Guarantees,” Special Publication 800-226, Mar. 2025, doi:10.6028/NIST.SP.800-226.</w:t>
      </w:r>
    </w:p>
    <w:p>
      <w:pPr>
        <w:pStyle w:val="BodyText"/>
        <w:spacing w:line="230" w:lineRule="auto" w:after="5"/>
      </w:pPr>
      <w:r>
        <w:rPr>
          <w:sz w:val="15"/>
        </w:rPr>
        <w:t>[10] Financial Action Task Force, “Methodology for Assessing Technical Compliance with the FATF Recommendations and the Effectiveness of AML/CFT/CPF Systems,” updated Jun. 2026, https://www.fatf-gafi.org/en/publications/Mutualevaluations/Fatf-methodology.html (accessed 29 Aug. 2026).</w:t>
      </w:r>
    </w:p>
    <w:p>
      <w:pPr>
        <w:pStyle w:val="BodyText"/>
        <w:spacing w:line="230" w:lineRule="auto" w:after="5"/>
      </w:pPr>
      <w:r>
        <w:rPr>
          <w:sz w:val="15"/>
        </w:rPr>
        <w:t>[11] U.S. Treasury, Office of Foreign Assets Control, “Frequently Asked Questions on Advanced Sanctions List Standard,” accessed 6 Aug. 2026.</w:t>
      </w:r>
    </w:p>
    <w:p>
      <w:pPr>
        <w:pStyle w:val="BodyText"/>
        <w:spacing w:line="230" w:lineRule="auto" w:after="5"/>
      </w:pPr>
      <w:r>
        <w:rPr>
          <w:sz w:val="15"/>
        </w:rPr>
        <w:t>[12] U.S. Treasury, Office of Foreign Assets Control, “How Sanctions List Search works,” FAQs 246-250, accessed 6 Aug. 2026.</w:t>
      </w:r>
    </w:p>
    <w:p>
      <w:pPr>
        <w:pStyle w:val="BodyText"/>
        <w:spacing w:line="230" w:lineRule="auto" w:after="5"/>
      </w:pPr>
      <w:r>
        <w:rPr>
          <w:sz w:val="15"/>
        </w:rPr>
        <w:t>[13] U.S. Treasury, Office of Foreign Assets Control, “Entities Owned by Blocked Persons: 50 Percent Rule,” FAQs 398-402, accessed 6 Aug. 2026.</w:t>
      </w:r>
    </w:p>
    <w:p>
      <w:pPr>
        <w:pStyle w:val="BodyText"/>
        <w:spacing w:line="230" w:lineRule="auto" w:after="5"/>
      </w:pPr>
      <w:r>
        <w:rPr>
          <w:sz w:val="15"/>
        </w:rPr>
        <w:t>[14] R. Bidder, T. Jackson and M. Rottner, “CBDC and banks: disintermediating fast and slow,” BIS Working Papers No. 1280, 8 Jul. 2025.</w:t>
      </w:r>
    </w:p>
    <w:p>
      <w:pPr>
        <w:pStyle w:val="BodyText"/>
        <w:spacing w:line="230" w:lineRule="auto" w:after="5"/>
      </w:pPr>
      <w:r>
        <w:rPr>
          <w:sz w:val="15"/>
        </w:rPr>
        <w:t>[15] European Central Bank, “Technical data on the financial stability impact of the digital euro,” technical annex, 22 Oct. 2025, https://www.ecb.europa.eu/euro/digital_euro/timeline/profuse/html/index.en.html (accessed 29 Aug. 2026).</w:t>
      </w:r>
    </w:p>
    <w:p>
      <w:pPr>
        <w:pStyle w:val="BodyText"/>
        <w:spacing w:line="230" w:lineRule="auto" w:after="5"/>
      </w:pPr>
      <w:r>
        <w:rPr>
          <w:sz w:val="15"/>
        </w:rPr>
        <w:t>[16] European Central Bank, “Preparation phase of a digital euro: closing report,” 30 Oct. 2025, https://www.ecb.europa.eu/euro/digital_euro/progress/shared/pdf/ecb.deprp202510.en.pdf (accessed 29 Aug. 2026).</w:t>
      </w:r>
    </w:p>
    <w:p>
      <w:pPr>
        <w:pStyle w:val="BodyText"/>
        <w:spacing w:line="230" w:lineRule="auto" w:after="5"/>
      </w:pPr>
      <w:r>
        <w:rPr>
          <w:sz w:val="15"/>
        </w:rPr>
        <w:t>[17] European Central Bank, “TIPS Capacity Elements,” requirement TIPS.UR.10.120, 14 Feb. 2024, https://www.ecb.europa.eu/paym/target/target-professional-use-documents-links/tips/shared/pdf/tipsmeetdoc/ecb.tipsmeetdoc240214_TIPS-CG_TIPS_Capacity.en.pdf (accessed 29 Aug. 2026).</w:t>
      </w:r>
    </w:p>
    <w:p>
      <w:pPr>
        <w:pStyle w:val="BodyText"/>
        <w:spacing w:line="230" w:lineRule="auto" w:after="5"/>
      </w:pPr>
      <w:r>
        <w:rPr>
          <w:sz w:val="15"/>
        </w:rPr>
        <w:t>[18] Banco Central do Brasil, “Instant Payments System (SPI) Annual Report 2024,” 2025.</w:t>
      </w:r>
    </w:p>
    <w:p>
      <w:pPr>
        <w:pStyle w:val="BodyText"/>
        <w:spacing w:line="230" w:lineRule="auto" w:after="5"/>
      </w:pPr>
      <w:r>
        <w:rPr>
          <w:sz w:val="15"/>
        </w:rPr>
        <w:t>[19] BIS Innovation Hub, “Project Aurora: the power of data, technology and collaboration to combat money laundering,” 2023.</w:t>
      </w:r>
    </w:p>
    <w:p>
      <w:pPr>
        <w:pStyle w:val="BodyText"/>
        <w:spacing w:line="230" w:lineRule="auto" w:after="5"/>
      </w:pPr>
      <w:r>
        <w:rPr>
          <w:sz w:val="15"/>
        </w:rPr>
        <w:t>[20] BIS Innovation Hub, “Project Hertha: identifying financial crime patterns in payment systems,” 2025.</w:t>
      </w:r>
    </w:p>
    <w:p>
      <w:pPr>
        <w:pStyle w:val="BodyText"/>
        <w:spacing w:line="230" w:lineRule="auto" w:after="5"/>
      </w:pPr>
      <w:r>
        <w:rPr>
          <w:sz w:val="15"/>
        </w:rPr>
        <w:t>[21] BIS Innovation Hub, “Project Polaris: a security and resilience framework for CBDC systems,” 2023.</w:t>
      </w:r>
    </w:p>
    <w:p>
      <w:pPr>
        <w:pStyle w:val="BodyText"/>
        <w:spacing w:line="230" w:lineRule="auto" w:after="5"/>
      </w:pPr>
      <w:r>
        <w:rPr>
          <w:sz w:val="15"/>
        </w:rPr>
        <w:t>[22] BIS Innovation Hub, “Project Tourbillon: exploring privacy, scalability and quantum-safe cryptography for CBDC,” 2023.</w:t>
      </w:r>
    </w:p>
    <w:p>
      <w:pPr>
        <w:pStyle w:val="BodyText"/>
        <w:spacing w:line="230" w:lineRule="auto" w:after="5"/>
      </w:pPr>
      <w:r>
        <w:rPr>
          <w:sz w:val="15"/>
        </w:rPr>
        <w:t>[23] W3C, “Data Integrity BBS Cryptosuites v1.0,” Candidate Recommendation Draft, 7 Apr. 2026, work in progress, https://www.w3.org/TR/vc-di-bbs/ (accessed 29 Aug. 2026).</w:t>
      </w:r>
    </w:p>
    <w:p>
      <w:pPr>
        <w:pStyle w:val="BodyText"/>
        <w:spacing w:line="230" w:lineRule="auto" w:after="5"/>
      </w:pPr>
      <w:r>
        <w:rPr>
          <w:sz w:val="15"/>
        </w:rPr>
        <w:t>[24] NIST, “Module-Lattice-Based Key-Encapsulation Mechanism Standard,” FIPS 203, 13 Aug. 2024, doi:10.6028/NIST.FIPS.203.</w:t>
      </w:r>
    </w:p>
    <w:p>
      <w:pPr>
        <w:pStyle w:val="BodyText"/>
        <w:spacing w:line="230" w:lineRule="auto" w:after="5"/>
      </w:pPr>
      <w:r>
        <w:rPr>
          <w:sz w:val="15"/>
        </w:rPr>
        <w:t>[25] NIST, “Module-Lattice-Based Digital Signature Standard,” FIPS 204, 13 Aug. 2024, doi:10.6028/NIST.FIPS.204.</w:t>
      </w:r>
    </w:p>
    <w:p>
      <w:pPr>
        <w:pStyle w:val="BodyText"/>
        <w:spacing w:line="230" w:lineRule="auto" w:after="5"/>
      </w:pPr>
      <w:r>
        <w:rPr>
          <w:sz w:val="15"/>
        </w:rPr>
        <w:t>[26] Financial Action Task Force, “Guidance on Digital Identity,” 5 Mar. 2020, https://www.fatf-gafi.org/content/dam/fatf-gafi/guidance/Guidance-on-Digital-Identity.pdf.coredownload.pdf (accessed 29 Aug. 2026).</w:t>
      </w:r>
    </w:p>
    <w:p>
      <w:pPr>
        <w:pStyle w:val="BodyText"/>
        <w:spacing w:line="230" w:lineRule="auto" w:after="5"/>
      </w:pPr>
      <w:r>
        <w:rPr>
          <w:sz w:val="15"/>
        </w:rPr>
        <w:t>[27] Financial Action Task Force, “Guidance on Beneficial Ownership of Legal Persons,” 10 Mar. 2023, https://www.fatf-gafi.org/en/publications/Fatfrecommendations/Guidance-Beneficial-Ownership-Legal-Persons.html (accessed 29 Aug. 2026).</w:t>
      </w:r>
    </w:p>
    <w:p>
      <w:pPr>
        <w:pStyle w:val="BodyText"/>
        <w:spacing w:line="230" w:lineRule="auto" w:after="5"/>
      </w:pPr>
      <w:r>
        <w:rPr>
          <w:sz w:val="15"/>
        </w:rPr>
        <w:t>[28] Cross-border Payments Interoperability and Extension Task Force, “Enhancing cross-border payments: fast payment system interlinking,” Feb. 2026, https://www.bis.org/cpmi/pietf/fps_feb_2026.pdf (accessed 29 Aug. 2026).</w:t>
      </w:r>
    </w:p>
    <w:p>
      <w:pPr>
        <w:pStyle w:val="BodyText"/>
        <w:spacing w:line="230" w:lineRule="auto" w:after="5"/>
      </w:pPr>
      <w:r>
        <w:rPr>
          <w:sz w:val="15"/>
        </w:rPr>
        <w:t>[29] ISO, “ISO 20022: Universal financial industry message scheme,” current edition.</w:t>
      </w:r>
    </w:p>
    <w:p>
      <w:pPr>
        <w:pStyle w:val="BodyText"/>
        <w:spacing w:line="230" w:lineRule="auto" w:after="5"/>
      </w:pPr>
      <w:r>
        <w:rPr>
          <w:sz w:val="15"/>
        </w:rPr>
        <w:t>[30] CPMI-IOSCO, “Principles for Financial Market Infrastructures,” Apr. 2012.</w:t>
      </w:r>
    </w:p>
    <w:p>
      <w:pPr>
        <w:pStyle w:val="BodyText"/>
        <w:spacing w:line="230" w:lineRule="auto" w:after="5"/>
      </w:pPr>
      <w:r>
        <w:rPr>
          <w:sz w:val="15"/>
        </w:rPr>
        <w:t>[31] Basel Committee on Banking Supervision, “Principles for operational resilience,” 31 Mar. 2021, https://www.bis.org/bcbs/publ/d516.htm (accessed 29 Aug. 2026).</w:t>
      </w:r>
    </w:p>
    <w:p>
      <w:pPr>
        <w:pStyle w:val="BodyText"/>
        <w:spacing w:line="230" w:lineRule="auto" w:after="5"/>
      </w:pPr>
      <w:r>
        <w:rPr>
          <w:sz w:val="15"/>
        </w:rPr>
        <w:t>[32] European Union, General Data Protection Regulation, Regulation (EU) 2016/679.</w:t>
      </w:r>
    </w:p>
    <w:p>
      <w:pPr>
        <w:pStyle w:val="BodyText"/>
        <w:spacing w:line="230" w:lineRule="auto" w:after="5"/>
      </w:pPr>
      <w:r>
        <w:rPr>
          <w:sz w:val="15"/>
        </w:rPr>
        <w:t>[33] K. Murphy et al., “Central Bank Digital Currency Data Use and Privacy Protection,” IMF Fintech Note 2024/004, 30 Aug. 2024, doi:10.5089/9798400286971.063.</w:t>
      </w:r>
    </w:p>
    <w:p>
      <w:pPr>
        <w:pStyle w:val="BodyText"/>
        <w:spacing w:line="230" w:lineRule="auto" w:after="5"/>
      </w:pPr>
      <w:r>
        <w:rPr>
          <w:sz w:val="15"/>
        </w:rPr>
        <w:t>[34] K. Kao, K. Chen, B. Aldersey, S. Forte Walker and G. Soana, “Financial Integrity Implications of Retail Central Bank Digital Currencies,” IMF Fintech Note 2025/010, 17 Nov. 2025, doi:10.5089/9798229029308.063.</w:t>
      </w:r>
    </w:p>
    <w:p>
      <w:pPr>
        <w:spacing w:line="230" w:lineRule="auto" w:after="5"/>
      </w:pPr>
      <w:r>
        <w:rPr>
          <w:sz w:val="15"/>
        </w:rPr>
        <w:t>[35] Y. Lee, B. Son, H. Jang, J. Byun, T. Yoon and J. Lee, “Atomic cross-chain settlement model for central banks digital currency,” Information Sciences, vol. 580, pp. 838-856, 2021, doi:10.1016/j.ins.2021.09.040.</w:t>
      </w:r>
    </w:p>
    <w:p>
      <w:pPr>
        <w:spacing w:line="230" w:lineRule="auto" w:after="5"/>
      </w:pPr>
      <w:r>
        <w:rPr>
          <w:sz w:val="15"/>
        </w:rPr>
        <w:t>[36] I. Homoliak, M. Perešíni, P. Holop, J. Handzuš and F. Casino, “CBDC-AquaSphere: Interoperable Central Bank Digital Currency Built on Trusted Computing and Blockchain,” arXiv:2305.16893, 2023, doi:10.48550/arXiv.2305.16893.</w:t>
      </w:r>
    </w:p>
    <w:p>
      <w:pPr>
        <w:spacing w:line="230" w:lineRule="auto" w:after="5"/>
      </w:pPr>
      <w:r>
        <w:rPr>
          <w:sz w:val="15"/>
        </w:rPr>
        <w:t>[37] A. Reslow, G. Soderberg and N. Tsuda, “Cross-Border Payments with Retail Central Bank Digital Currencies: Design and Policy Considerations,” IMF Fintech Note 2024/002, 15 May 2024, doi:10.5089/9798400272035.063.</w:t>
      </w:r>
    </w:p>
    <w:p>
      <w:pPr>
        <w:spacing w:line="230" w:lineRule="auto" w:after="5"/>
      </w:pPr>
      <w:r>
        <w:rPr>
          <w:sz w:val="15"/>
        </w:rPr>
        <w:t>[38] BIS Consultative Group on Innovation and the Digital Economy, “High-level technical requirements for a functional central bank digital currency architecture,” 12 Dec. 2023, https://www.bis.org/publ/othp82.htm (accessed 29 Aug. 2026).</w:t>
      </w:r>
    </w:p>
    <w:p>
      <w:pPr>
        <w:spacing w:line="230" w:lineRule="auto" w:after="5"/>
      </w:pPr>
      <w:r>
        <w:rPr>
          <w:sz w:val="15"/>
        </w:rPr>
        <w:t>[39] N. Pocher and A. Veneris, “Privacy and Transparency in CBDCs: A Regulation-by-Design AML/CFT Scheme,” IEEE Transactions on Network and Service Management, vol. 19, no. 2, pp. 1776-1788, 2022, doi:10.1109/TNSM.2021.3136984.</w:t>
      </w:r>
    </w:p>
    <w:p>
      <w:pPr>
        <w:spacing w:line="230" w:lineRule="auto" w:after="5"/>
      </w:pPr>
      <w:r>
        <w:rPr>
          <w:sz w:val="15"/>
        </w:rPr>
        <w:t>[40] V. Bharathan and M. Pillai, “Central Bank Digital Currency Towards A Composable Standards-Based Implementation,” SSRN, 18 Oct. 2022, doi:10.2139/ssrn.4251613.</w:t>
      </w:r>
    </w:p>
    <w:p>
      <w:pPr>
        <w:spacing w:line="230" w:lineRule="auto" w:after="5"/>
      </w:pPr>
      <w:r>
        <w:rPr>
          <w:sz w:val="15"/>
        </w:rPr>
        <w:t>[41] P. Michalopoulos, O. Olowookere, N. Pocher, J. Sedlmeir, A. Veneris and P. Puri, “Privacy and Compliance Design Options in Offline Central Bank Digital Currencies,” IEEE Transactions on Network and Service Management, vol. 22, no. 5, pp. 3748-3763, 2025, doi:10.1109/TNSM.2025.3575367.</w:t>
      </w:r>
    </w:p>
    <w:p>
      <w:pPr>
        <w:spacing w:line="230" w:lineRule="auto" w:after="5"/>
      </w:pPr>
      <w:r>
        <w:rPr>
          <w:sz w:val="15"/>
        </w:rPr>
        <w:t>[42] I. Mullins, P. Brataniec, K. Jamroz and G. Ade, “Systems and methods for providing interoperability in a CBDC network,” WIPO Patent WO2025085074A1, published 24 Apr. 2025, priority 17 Oct. 2023, https://patents.google.com/patent/WO2025085074A1/en.</w:t>
      </w:r>
    </w:p>
    <w:p>
      <w:pPr>
        <w:spacing w:line="230" w:lineRule="auto" w:after="5"/>
      </w:pPr>
      <w:r>
        <w:rPr>
          <w:sz w:val="15"/>
        </w:rPr>
        <w:t>[43] M. Bernardo, F. Calandra, A. Esposito and F. Fabris, “On the Operational Resilience of CBDC: Threats and Prospects of Formal Validation for Offline Payments,” arXiv:2508.08064, 2025, doi:10.48550/arXiv.2508.08064.</w:t>
      </w:r>
    </w:p>
    <w:p>
      <w:pPr>
        <w:spacing w:line="230" w:lineRule="auto" w:after="5"/>
      </w:pPr>
      <w:r>
        <w:rPr>
          <w:sz w:val="15"/>
        </w:rPr>
        <w:t>[44] S. Y. Jin and Y. Xia, “CEV Framework: A Central Bank Digital Currency Evaluation and Verification Framework With a Focus on Consensus Algorithms and Operating Architectures,” IEEE Access, vol. 10, pp. 63698-63714, 2022, doi:10.1109/ACCESS.2022.3183092.</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Zubaer Mahmood Zubraj | 29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color w:val="595959"/>
        <w:sz w:val="16"/>
      </w:rPr>
      <w:t>Composable CBDC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rial" w:hAnsi="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20"/>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50"/>
    </w:pPr>
    <w:rPr>
      <w:rFonts w:asciiTheme="majorHAnsi" w:eastAsiaTheme="majorEastAsia" w:hAnsiTheme="majorHAnsi" w:cstheme="majorBidi" w:ascii="Arial" w:hAnsi="Arial"/>
      <w:b/>
      <w:i/>
      <w:iCs/>
      <w:color w:val="1F4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4" w:line="247" w:lineRule="auto"/>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i/>
      <w:color w:val="5B65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Composable assurance for sovereign digital currency (CBDC): An evidence-gated qualification framework</dc:title>
  <dc:subject>Author draft v8; evidence-constrained CBDC assurance</dc:subject>
  <dc:creator>Zubaer Mahmood Zubraj</dc:creator>
  <cp:keywords>central bank digital currency, cross-border settlement, differential privacy, AML/CFT, operational resilience, reproducibility</cp:keywords>
  <dc:description>Research evidence is formal, synthetic, laboratory-prototype, official-list snapshot, and queueing-simulation evidence; no production or national deployment claim.</dc:description>
  <cp:lastModifiedBy/>
  <cp:revision>1</cp:revision>
  <dcterms:created xsi:type="dcterms:W3CDTF">2013-12-23T23:15:00Z</dcterms:created>
  <dcterms:modified xsi:type="dcterms:W3CDTF">2013-12-23T23:15:00Z</dcterms:modified>
  <cp:category/>
</cp:coreProperties>
</file>