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9C0006"/>
        </w:rPr>
        <w:t>PROVISIONAL OPTIONAL COVER LETTER — DO NOT SUBMIT WITH OPEN GATES</w:t>
      </w:r>
    </w:p>
    <w:p>
      <w:r>
        <w:t>29 August 2026</w:t>
      </w:r>
    </w:p>
    <w:p>
      <w:r>
        <w:t>Editor-in-Chief</w:t>
        <w:br/>
        <w:t>The Journal of Financial Market Infrastructures</w:t>
      </w:r>
    </w:p>
    <w:p>
      <w:r>
        <w:t>Dear Editor-in-Chief,</w:t>
      </w:r>
    </w:p>
    <w:p>
      <w:r>
        <w:t>I submit the manuscript “Composable assurance for sovereign digital currency (CBDC): An evidence-gated qualification framework” for provisional consideration as a research paper in The Journal of Financial Market Infrastructures.</w:t>
      </w:r>
    </w:p>
    <w:p>
      <w:r>
        <w:t>The paper develops an evidence-gated qualification framework for sovereign CBDC payment infrastructure. It binds monetary invariants, cross-border settlement evidence, privacy and financial-integrity evaluation, policy limits, and operational-scale claims to explicit maturity ceilings. Its intended contribution is the composable qualification method rather than priority for each underlying component.</w:t>
      </w:r>
    </w:p>
    <w:p>
      <w:r>
        <w:t>The manuscript is relevant to the journal's coverage of payment and settlement systems, settlement risk and interdependencies, non-bank payment service providers, retail payment infrastructure, oversight, and infrastructure-related standardization. The evidence comprises formal modelling, reproducible synthetic and public-list benchmarks, an internal local prototype, and a queueing digital twin. It does not claim certified-HSM, physical multi-region, institutional-field, national-deployment, or independent-replication evidence.</w:t>
      </w:r>
    </w:p>
    <w:p>
      <w:r>
        <w:t>The author confirms that the manuscript has not been published and is not under consideration or in press elsewhere. The study is a non-human computational systems study using public and synthetic materials; no human participant, clinical intervention, or identifiable personal-data result is claimed. Funding is self-funded.</w:t>
      </w:r>
    </w:p>
    <w:p>
      <w:r>
        <w:rPr>
          <w:b/>
          <w:color w:val="9C0006"/>
        </w:rPr>
        <w:t>[ACCOUNTABLE AUTHOR MUST INSERT AND APPROVE THE CONFLICT-OF-INTEREST STATEMENT AND A JOURNAL-COMPLIANT, TRUTHFUL AI-USE ACKNOWLEDGEMENT BEFORE THIS LETTER MAY BE SUBMITTED.]</w:t>
      </w:r>
    </w:p>
    <w:p>
      <w:r>
        <w:t>The blinded manuscript excludes author identity. A separate title page provides the confirmed author name, email, ORCID, funding statement, and exclusivity confirmation; affiliation, postal address, and the corresponding-author designation remain open author fields.</w:t>
      </w:r>
    </w:p>
    <w:p>
      <w:r>
        <w:t>Thank you for considering the manuscript.</w:t>
      </w:r>
    </w:p>
    <w:p>
      <w:r>
        <w:t>Sincerely,</w:t>
        <w:br/>
        <w:t>Zubaer Mahmood Zubraj</w:t>
        <w:br/>
        <w:t>Email: zmzubraj@gmail.com</w:t>
        <w:br/>
        <w:t>ORCID: https://orcid.org/0009-0004-3251-3385</w:t>
        <w:br/>
        <w:t>[AFFILIATION, POSTAL ADDRESS, AND CORRESPONDING-AUTHOR DESIGNATION TO BE CONFIRMED]</w:t>
      </w:r>
    </w:p>
    <w:sectPr w:rsidR="00FC693F" w:rsidRPr="0006063C" w:rsidSect="00034616">
      <w:pgSz w:w="11906" w:h="16838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Provisional optional JFMI cover-letter template</dc:title>
  <dc:subject>Not submission-ready while bracketed author gates remain</dc:subject>
  <dc:creator>Zubaer Mahmood Zubraj</dc:creator>
  <cp:keywords/>
  <dc:description>Optional local template; the official JFMI guidelines checked on 29 August 2026 do not list a cover letter as mandatory.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