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Figure and table legends</w:t>
      </w:r>
    </w:p>
    <w:p>
      <w:r>
        <w:t>Provisional companion file. The same numbered figures, tables, and captions remain embedded in the blinded manuscript.</w:t>
      </w:r>
    </w:p>
    <w:p>
      <w:pPr>
        <w:spacing w:after="100"/>
      </w:pPr>
      <w:r>
        <w:t>Figure 1. Composable assurance and the evidence ladder used throughout the paper.</w:t>
      </w:r>
    </w:p>
    <w:p>
      <w:pPr>
        <w:spacing w:after="100"/>
      </w:pPr>
      <w:r>
        <w:t>Figure 2. Technology-neutral architecture and the sovereign boundary.</w:t>
      </w:r>
    </w:p>
    <w:p>
      <w:pPr>
        <w:spacing w:after="100"/>
      </w:pPr>
      <w:r>
        <w:t>Figure 3. Cross-border sequence with explicit PREPARE and terminal decision certificates.</w:t>
      </w:r>
    </w:p>
    <w:p>
      <w:pPr>
        <w:spacing w:after="100"/>
      </w:pPr>
      <w:r>
        <w:t>Figure 4. Institutional separation, learned privacy attacks and registered public-statistics releases.</w:t>
      </w:r>
    </w:p>
    <w:p>
      <w:pPr>
        <w:spacing w:after="100"/>
      </w:pPr>
      <w:r>
        <w:t>Figure 5. Learned pairwise-attack ROC-AUC under unseen-user and independently generated evaluation regimes.</w:t>
      </w:r>
    </w:p>
    <w:p>
      <w:pPr>
        <w:spacing w:after="100"/>
      </w:pPr>
      <w:r>
        <w:t>Figure 6. Utility and clipping effects for dense and sparse registered histograms.</w:t>
      </w:r>
    </w:p>
    <w:p>
      <w:pPr>
        <w:spacing w:after="100"/>
      </w:pPr>
      <w:r>
        <w:t>Figure 7. Leakage-controlled AML comparison and prospective effectiveness outcomes.</w:t>
      </w:r>
    </w:p>
    <w:p>
      <w:pPr>
        <w:spacing w:after="100"/>
      </w:pPr>
      <w:r>
        <w:t>Figure 8. Mean PR-AUC difference by independent generator family.</w:t>
      </w:r>
    </w:p>
    <w:p>
      <w:pPr>
        <w:spacing w:after="100"/>
      </w:pPr>
      <w:r>
        <w:t>Figure 9. Sanctions screening from official-list ingestion to analyst and ownership decisions.</w:t>
      </w:r>
    </w:p>
    <w:p>
      <w:pPr>
        <w:spacing w:after="100"/>
      </w:pPr>
      <w:r>
        <w:t>Figure 10. Calibrated sanctions policy frontier: recall and false-positive trade-off.</w:t>
      </w:r>
    </w:p>
    <w:p>
      <w:pPr>
        <w:spacing w:after="100"/>
      </w:pPr>
      <w:r>
        <w:t>Figure 11. Prevalence-adjusted analyst workload across calibrated policies.</w:t>
      </w:r>
    </w:p>
    <w:p>
      <w:pPr>
        <w:spacing w:after="100"/>
      </w:pPr>
      <w:r>
        <w:t>Figure 12. From jurisdictional data to a partially identified and adaptively governed policy set.</w:t>
      </w:r>
    </w:p>
    <w:p>
      <w:pPr>
        <w:spacing w:after="100"/>
      </w:pPr>
      <w:r>
        <w:t>Figure 13. Illustrative holding-limit ceilings across exposure tolerances, eligible populations and adoption shares.</w:t>
      </w:r>
    </w:p>
    <w:p>
      <w:pPr>
        <w:spacing w:after="100"/>
      </w:pPr>
      <w:r>
        <w:t>Figure 14. Four-stage national-scale qualification and the claim boundary.</w:t>
      </w:r>
    </w:p>
    <w:p>
      <w:pPr>
        <w:spacing w:after="100"/>
      </w:pPr>
      <w:r>
        <w:t>Figure 15. Trace-driven digital-twin p99 latency across workload and failure scenarios.</w:t>
      </w:r>
    </w:p>
    <w:p>
      <w:pPr>
        <w:spacing w:after="100"/>
      </w:pPr>
      <w:r>
        <w:t>Figure 16. Analytical lower-bound units by stage and qualification workload.</w:t>
      </w:r>
    </w:p>
    <w:p>
      <w:pPr>
        <w:spacing w:after="100"/>
      </w:pPr>
      <w:r>
        <w:t>Table 1. Principal novelty boundaries.</w:t>
      </w:r>
    </w:p>
    <w:p>
      <w:pPr>
        <w:spacing w:after="100"/>
      </w:pPr>
      <w:r>
        <w:t>Table 2. Core design requirements.</w:t>
      </w:r>
    </w:p>
    <w:p>
      <w:pPr>
        <w:spacing w:after="100"/>
      </w:pPr>
      <w:r>
        <w:t>Table 3. Cross-border protocol objects.</w:t>
      </w:r>
    </w:p>
    <w:p>
      <w:pPr>
        <w:spacing w:after="100"/>
      </w:pPr>
      <w:r>
        <w:t>Table 4. Cross-border properties and proof boundary.</w:t>
      </w:r>
    </w:p>
    <w:p>
      <w:pPr>
        <w:spacing w:after="100"/>
      </w:pPr>
      <w:r>
        <w:t>Table 5. Privacy attacker model.</w:t>
      </w:r>
    </w:p>
    <w:p>
      <w:pPr>
        <w:spacing w:after="100"/>
      </w:pPr>
      <w:r>
        <w:t>Table 6. Learned network-observer linkage results.</w:t>
      </w:r>
    </w:p>
    <w:p>
      <w:pPr>
        <w:spacing w:after="100"/>
      </w:pPr>
      <w:r>
        <w:t>Table 7. Ranking attack under independently generated traffic.</w:t>
      </w:r>
    </w:p>
    <w:p>
      <w:pPr>
        <w:spacing w:after="100"/>
      </w:pPr>
      <w:r>
        <w:t>Table 8. Differential-privacy utility by annual budget.</w:t>
      </w:r>
    </w:p>
    <w:p>
      <w:pPr>
        <w:spacing w:after="100"/>
      </w:pPr>
      <w:r>
        <w:t>Table 9. AML/CFT predictive-evaluation design.</w:t>
      </w:r>
    </w:p>
    <w:p>
      <w:pPr>
        <w:spacing w:after="100"/>
      </w:pPr>
      <w:r>
        <w:t>Table 10. Family-specific AML effects.</w:t>
      </w:r>
    </w:p>
    <w:p>
      <w:pPr>
        <w:spacing w:after="100"/>
      </w:pPr>
      <w:r>
        <w:t>Table 11. Predictive workload at fixed alert budgets.</w:t>
      </w:r>
    </w:p>
    <w:p>
      <w:pPr>
        <w:spacing w:after="100"/>
      </w:pPr>
      <w:r>
        <w:t>Table 12. Sanctions evaluation design.</w:t>
      </w:r>
    </w:p>
    <w:p>
      <w:pPr>
        <w:spacing w:after="100"/>
      </w:pPr>
      <w:r>
        <w:t>Table 13. Calibrated screening policies.</w:t>
      </w:r>
    </w:p>
    <w:p>
      <w:pPr>
        <w:spacing w:after="100"/>
      </w:pPr>
      <w:r>
        <w:t>Table 14. Prevalence-adjusted workload illustration.</w:t>
      </w:r>
    </w:p>
    <w:p>
      <w:pPr>
        <w:spacing w:after="100"/>
      </w:pPr>
      <w:r>
        <w:t>Table 15. Recall by evidence and perturbation class.</w:t>
      </w:r>
    </w:p>
    <w:p>
      <w:pPr>
        <w:spacing w:after="100"/>
      </w:pPr>
      <w:r>
        <w:t>Table 16. Illustrative candidate limits under one exposure definition.</w:t>
      </w:r>
    </w:p>
    <w:p>
      <w:pPr>
        <w:spacing w:after="100"/>
      </w:pPr>
      <w:r>
        <w:t>Table 17. Mechanical duration imposed by system-wide flow limits (days).</w:t>
      </w:r>
    </w:p>
    <w:p>
      <w:pPr>
        <w:spacing w:after="100"/>
      </w:pPr>
      <w:r>
        <w:t>Table 18. Digital-twin scenario outcomes.</w:t>
      </w:r>
    </w:p>
    <w:p>
      <w:pPr>
        <w:spacing w:after="100"/>
      </w:pPr>
      <w:r>
        <w:t>Table 19. Necessary parallel-unit lower bounds (2x headroom, 60% planned utilization).</w:t>
      </w:r>
    </w:p>
    <w:p>
      <w:pPr>
        <w:spacing w:after="100"/>
      </w:pPr>
      <w:r>
        <w:t>Table 20. Mandatory physical and pilot acceptance evidence.</w:t>
      </w:r>
    </w:p>
    <w:p>
      <w:pPr>
        <w:spacing w:after="100"/>
      </w:pPr>
      <w:r>
        <w:t>Table 21. Security controls and evidence.</w:t>
      </w:r>
    </w:p>
    <w:p>
      <w:pPr>
        <w:spacing w:after="100"/>
      </w:pPr>
      <w:r>
        <w:t>Table 22. Claims-to-evidence register.</w:t>
      </w:r>
    </w:p>
    <w:sectPr w:rsidR="00FC693F" w:rsidRPr="0006063C" w:rsidSect="00034616">
      <w:pgSz w:w="11906" w:h="16838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