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25.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KEYSTONE: Auditable Dispute-Key Availability for Encrypted AI Rollups</w:t>
      </w:r>
    </w:p>
    <w:p>
      <w:pPr>
        <w:pStyle w:val="Author"/>
      </w:pPr>
      <w:r>
        <w:t xml:space="preserve">Zubaer Mahmood Zubraj</w:t>
      </w:r>
      <w:r>
        <w:br/>
      </w:r>
      <w:r>
        <w:t xml:space="preserve">Department of Computer Science, East Delta University</w:t>
      </w:r>
      <w:r>
        <w:br/>
      </w:r>
      <w:r>
        <w:t xml:space="preserve">Chittagong, Bangladesh</w:t>
      </w:r>
      <w:r>
        <w:br/>
      </w:r>
      <w:hyperlink r:id="rId9">
        <w:r>
          <w:rPr>
            <w:rStyle w:val="Hyperlink"/>
          </w:rPr>
          <w:t xml:space="preserve">zmzubraj@gmail.com</w:t>
        </w:r>
      </w:hyperlink>
    </w:p>
    <w:p>
      <w:pPr>
        <w:pStyle w:val="Date"/>
      </w:pPr>
      <w:r>
        <w:t xml:space="preserve">External PhD Review Draft — 30 August 2026</w:t>
      </w:r>
    </w:p>
    <w:p>
      <w:pPr>
        <w:pStyle w:val="AbstractTitle"/>
      </w:pPr>
      <w:r>
        <w:t xml:space="preserve">Abstract</w:t>
      </w:r>
    </w:p>
    <w:p>
      <w:pPr>
        <w:pStyle w:val="Abstract"/>
      </w:pPr>
      <w:r>
        <w:t xml:space="preserve">Encrypted optimistic rollups may preserve the availability of ciphertext and execution receipts while failing when a dispute requires timely authorized decryption. This paper studies that gap as</w:t>
      </w:r>
      <w:r>
        <w:t xml:space="preserve"> </w:t>
      </w:r>
      <w:r>
        <w:rPr>
          <w:i/>
          <w:iCs/>
        </w:rPr>
        <w:t xml:space="preserve">dispute-key availability</w:t>
      </w:r>
      <w:r>
        <w:t xml:space="preserve"> </w:t>
      </w:r>
      <w:r>
        <w:t xml:space="preserve">(DKA): the conditional ability of an authorized verifier to obtain at least a threshold number of valid decryption contributions before a dispute deadline, while preserving confidentiality before authorization. KEYSTONE is a non-production cryptographic-systems design that combines established threshold-KEM and verifiable partial-decryption components with an unpredictable canary audit, a public request/deadline transcript, and failure-domain-aware sampling. For a committee of</w:t>
      </w:r>
      <w:r>
        <w:t xml:space="preserve"> </w:t>
      </w:r>
      <m:oMath>
        <m:r>
          <m:t>n</m:t>
        </m:r>
      </m:oMath>
      <w:r>
        <w:t xml:space="preserve"> </w:t>
      </w:r>
      <w:r>
        <w:t xml:space="preserve">custodians, threshold</w:t>
      </w:r>
      <w:r>
        <w:t xml:space="preserve"> </w:t>
      </w:r>
      <m:oMath>
        <m:r>
          <m:t>t</m:t>
        </m:r>
      </m:oMath>
      <w:r>
        <w:t xml:space="preserve">, audit sample size</w:t>
      </w:r>
      <w:r>
        <w:t xml:space="preserve"> </w:t>
      </w:r>
      <m:oMath>
        <m:r>
          <m:t>s</m:t>
        </m:r>
      </m:oMath>
      <w:r>
        <w:t xml:space="preserve">, and acceptance threshold</w:t>
      </w:r>
      <w:r>
        <w:t xml:space="preserve"> </w:t>
      </w:r>
      <m:oMath>
        <m:r>
          <m:t>q</m:t>
        </m:r>
      </m:oMath>
      <w:r>
        <w:t xml:space="preserve">, we derive a hypergeometric false-accept expression for static catastrophic states. At the frozen baseline</w:t>
      </w:r>
      <w:r>
        <w:t xml:space="preserve"> </w:t>
      </w:r>
      <m:oMath>
        <m:r>
          <m:t>n</m:t>
        </m:r>
        <m:r>
          <m:rPr>
            <m:sty m:val="p"/>
          </m:rPr>
          <m:t>=</m:t>
        </m:r>
        <m:r>
          <m:t>32</m:t>
        </m:r>
      </m:oMath>
      <w:r>
        <w:t xml:space="preserve">,</w:t>
      </w:r>
      <w:r>
        <w:t xml:space="preserve"> </w:t>
      </w:r>
      <m:oMath>
        <m:r>
          <m:t>t</m:t>
        </m:r>
        <m:r>
          <m:rPr>
            <m:sty m:val="p"/>
          </m:rPr>
          <m:t>=</m:t>
        </m:r>
        <m:r>
          <m:t>22</m:t>
        </m:r>
      </m:oMath>
      <w:r>
        <w:t xml:space="preserve">, and</w:t>
      </w:r>
      <w:r>
        <w:t xml:space="preserve"> </w:t>
      </w:r>
      <m:oMath>
        <m:r>
          <m:t>s</m:t>
        </m:r>
        <m:r>
          <m:rPr>
            <m:sty m:val="p"/>
          </m:rPr>
          <m:t>=</m:t>
        </m:r>
        <m:r>
          <m:t>q</m:t>
        </m:r>
        <m:r>
          <m:rPr>
            <m:sty m:val="p"/>
          </m:rPr>
          <m:t>=</m:t>
        </m:r>
        <m:r>
          <m:t>8</m:t>
        </m:r>
      </m:oMath>
      <w:r>
        <w:t xml:space="preserve">, the worst-case catastrophic false-accept probability is</w:t>
      </w:r>
      <w:r>
        <w:t xml:space="preserve"> </w:t>
      </w:r>
      <m:oMath>
        <m:d>
          <m:dPr>
            <m:begChr m:val="("/>
            <m:sepChr m:val=""/>
            <m:endChr m:val=")"/>
            <m:grow/>
          </m:dPr>
          <m:e>
            <m:f>
              <m:fPr>
                <m:type m:val="noBar"/>
              </m:fPr>
              <m:num>
                <m:r>
                  <m:t>21</m:t>
                </m:r>
              </m:num>
              <m:den>
                <m:r>
                  <m:t>8</m:t>
                </m:r>
              </m:den>
            </m:f>
          </m:e>
        </m:d>
        <m:r>
          <m:rPr>
            <m:sty m:val="p"/>
          </m:rPr>
          <m:t>/</m:t>
        </m:r>
        <m:d>
          <m:dPr>
            <m:begChr m:val="("/>
            <m:sepChr m:val=""/>
            <m:endChr m:val=")"/>
            <m:grow/>
          </m:dPr>
          <m:e>
            <m:f>
              <m:fPr>
                <m:type m:val="noBar"/>
              </m:fPr>
              <m:num>
                <m:r>
                  <m:t>32</m:t>
                </m:r>
              </m:num>
              <m:den>
                <m:r>
                  <m:t>8</m:t>
                </m:r>
              </m:den>
            </m:f>
          </m:e>
        </m:d>
        <m:r>
          <m:rPr>
            <m:sty m:val="p"/>
          </m:rPr>
          <m:t>=</m:t>
        </m:r>
        <m:r>
          <m:t>0.0193463</m:t>
        </m:r>
      </m:oMath>
      <w:r>
        <w:t xml:space="preserve">, corresponding to a detection probability of</w:t>
      </w:r>
      <w:r>
        <w:t xml:space="preserve"> </w:t>
      </w:r>
      <m:oMath>
        <m:r>
          <m:t>0.980654</m:t>
        </m:r>
      </m:oMath>
      <w:r>
        <w:t xml:space="preserve">. An internal exploratory selective-withholding sweep also provides a constructive limitation: eleven custodians can answer every non-production audit while refusing a target dispute, leaving only twenty-one responses and preventing threshold reconstruction. This result shows why an audit is evidence of present sampled serviceability, not a proof of future cooperation. The contribution is therefore a property separation, an integration design, and a bounded analysis—not a new threshold-encryption primitive or a claim of production security. Novelty relative to the strongest recovered predecessor set remains under independent review, and all simulation and prototype outputs are explicitly preliminary rather than confirmatory.</w:t>
      </w:r>
    </w:p>
    <w:p>
      <w:pPr>
        <w:pStyle w:val="FirstParagraph"/>
      </w:pPr>
      <w:r>
        <w:rPr>
          <w:b/>
          <w:bCs/>
        </w:rPr>
        <w:t xml:space="preserve">Keywords:</w:t>
      </w:r>
      <w:r>
        <w:t xml:space="preserve"> </w:t>
      </w:r>
      <w:r>
        <w:t xml:space="preserve">dispute-key availability; threshold decryption; encrypted rollups; readiness sampling; selective withholding; accountability.</w:t>
      </w:r>
    </w:p>
    <w:p>
      <w:pPr>
        <w:pStyle w:val="BodyText"/>
      </w:pPr>
      <w:r>
        <w:rPr>
          <w:b/>
          <w:bCs/>
        </w:rPr>
        <w:t xml:space="preserve">Review status.</w:t>
      </w:r>
      <w:r>
        <w:t xml:space="preserve"> </w:t>
      </w:r>
      <w:r>
        <w:t xml:space="preserve">This is an external scientific-review manuscript. The analytic result is model-bounded; the prototype and simulation outputs are internal and preliminary. Novelty is unresolved, feasibility has not been promoted to an authorized confirmatory study, and this document must not be treated as a submission-ready or production-security claim.</w:t>
      </w:r>
    </w:p>
    <w:bookmarkStart w:id="10" w:name="introduction"/>
    <w:p>
      <w:pPr>
        <w:pStyle w:val="Heading1"/>
      </w:pPr>
      <w:r>
        <w:t xml:space="preserve">Introduction</w:t>
      </w:r>
    </w:p>
    <w:p>
      <w:pPr>
        <w:pStyle w:val="FirstParagraph"/>
      </w:pPr>
      <w:r>
        <w:t xml:space="preserve">Private or encrypted optimistic execution introduces an operational dependency that public data-availability mechanisms do not remove. A ciphertext can remain retrievable while the threshold service needed to open its record key is unavailable, late, invalid, or selectively uncooperative. In an optimistic dispute, that difference is decisive: the system must recover enough valid contributions after authorization and before a deadline, not merely prove that encrypted bytes exist.</w:t>
      </w:r>
    </w:p>
    <w:p>
      <w:pPr>
        <w:pStyle w:val="BodyText"/>
      </w:pPr>
      <w:r>
        <w:t xml:space="preserve">KEYSTONE studies this distinction in the setting of encrypted AI-rollup disputes. The system keeps each inference record encrypted under a fresh symmetric key and wraps that key under an epoch threshold public key. A routine audit samples custodians using post-commit randomness and asks each sampled custodian to operate on a canonical, non-production group element. A valid response demonstrates current access to the custodian’s epoch share and the ability to perform the required partial-decryption operation. An authorized dispute instead requests partial decryptions of the target record’s threshold-KEM component. These two paths share cryptographic machinery but measure different behavior.</w:t>
      </w:r>
    </w:p>
    <w:p>
      <w:pPr>
        <w:pStyle w:val="BodyText"/>
      </w:pPr>
      <w:r>
        <w:t xml:space="preserve">The central research question is:</w:t>
      </w:r>
    </w:p>
    <w:p>
      <w:pPr>
        <w:pStyle w:val="BlockText"/>
      </w:pPr>
      <w:r>
        <w:t xml:space="preserve">How can an encrypted AI rollup obtain publicly auditable, non-revealing evidence that at least</w:t>
      </w:r>
      <w:r>
        <w:t xml:space="preserve"> </w:t>
      </w:r>
      <m:oMath>
        <m:r>
          <m:t>t</m:t>
        </m:r>
      </m:oMath>
      <w:r>
        <w:t xml:space="preserve"> </w:t>
      </w:r>
      <w:r>
        <w:t xml:space="preserve">valid threshold-decryption contributions are currently serviceable for an authorized dispute before deadline</w:t>
      </w:r>
      <w:r>
        <w:t xml:space="preserve"> </w:t>
      </w:r>
      <m:oMath>
        <m:r>
          <m:rPr>
            <m:sty m:val="p"/>
          </m:rPr>
          <m:t>Δ</m:t>
        </m:r>
      </m:oMath>
      <w:r>
        <w:t xml:space="preserve">, under explicit churn and correlated-failure assumptions, without releasing a production key or plaintext before authorization?</w:t>
      </w:r>
    </w:p>
    <w:p>
      <w:pPr>
        <w:pStyle w:val="FirstParagraph"/>
      </w:pPr>
      <w:r>
        <w:t xml:space="preserve">The proposed contribution is deliberately narrow:</w:t>
      </w:r>
    </w:p>
    <w:p>
      <w:pPr>
        <w:numPr>
          <w:ilvl w:val="0"/>
          <w:numId w:val="1001"/>
        </w:numPr>
      </w:pPr>
      <w:r>
        <w:t xml:space="preserve">a decomposition that separates ciphertext availability, valid-share registration, audit-time readiness, authorized decryptability, and dispute deadline liveness;</w:t>
      </w:r>
    </w:p>
    <w:p>
      <w:pPr>
        <w:numPr>
          <w:ilvl w:val="0"/>
          <w:numId w:val="1001"/>
        </w:numPr>
      </w:pPr>
      <w:r>
        <w:t xml:space="preserve">a non-production canary audit constructed from established threshold-decryption and equality-of-discrete-log proof techniques;</w:t>
      </w:r>
    </w:p>
    <w:p>
      <w:pPr>
        <w:numPr>
          <w:ilvl w:val="0"/>
          <w:numId w:val="1001"/>
        </w:numPr>
      </w:pPr>
      <w:r>
        <w:t xml:space="preserve">a closed-form false-accept bound for a static catastrophic readiness state, with explicit limits on repeated-audit inference; and</w:t>
      </w:r>
    </w:p>
    <w:p>
      <w:pPr>
        <w:numPr>
          <w:ilvl w:val="0"/>
          <w:numId w:val="1001"/>
        </w:numPr>
      </w:pPr>
      <w:r>
        <w:t xml:space="preserve">an executable internal prototype and adversarial simulator that expose both useful evidence and a selective-withholding failure boundary.</w:t>
      </w:r>
    </w:p>
    <w:p>
      <w:pPr>
        <w:pStyle w:val="FirstParagraph"/>
      </w:pPr>
      <w:r>
        <w:t xml:space="preserve">The paper does not claim a new threshold-encryption, VSS/PVSS, DLEQ, proactive-sharing, context-dependent-decryption, or bulletin-board primitive. It also does not claim that a successful audit proves unconditional future availability, adaptive selective-withholding resistance, or production security.</w:t>
      </w:r>
    </w:p>
    <w:bookmarkEnd w:id="10"/>
    <w:bookmarkStart w:id="11" w:name="background-and-related-work"/>
    <w:p>
      <w:pPr>
        <w:pStyle w:val="Heading1"/>
      </w:pPr>
      <w:r>
        <w:t xml:space="preserve">Background and Related Work</w:t>
      </w:r>
    </w:p>
    <w:p>
      <w:pPr>
        <w:pStyle w:val="FirstParagraph"/>
      </w:pPr>
      <w:r>
        <w:t xml:space="preserve">Data-availability sampling, including PeerDAS, concerns the retrievability of encoded public data and is therefore a contrast class rather than a solution to threshold-key serviceability</w:t>
      </w:r>
      <w:r>
        <w:t xml:space="preserve"> </w:t>
      </w:r>
      <w:r>
        <w:t xml:space="preserve">[1]</w:t>
      </w:r>
      <w:r>
        <w:t xml:space="preserve">. Threshold encryption establishes that a ciphertext can be opened only with sufficiently many decryption contributions; classical and modern constructions supply the confidentiality and reconstruction substrate adopted here</w:t>
      </w:r>
      <w:r>
        <w:t xml:space="preserve"> </w:t>
      </w:r>
      <w:r>
        <w:t xml:space="preserve">[2]</w:t>
      </w:r>
      <w:r>
        <w:t xml:space="preserve">. Verifiable secret sharing, proactive sharing, and dynamic proactive secret sharing address correct distribution, refresh, and changing committees, but do not by themselves measure whether a dispute service will meet a future deadline</w:t>
      </w:r>
      <w:r>
        <w:t xml:space="preserve"> </w:t>
      </w:r>
      <w:r>
        <w:t xml:space="preserve">[3–5]</w:t>
      </w:r>
      <w:r>
        <w:t xml:space="preserve">.</w:t>
      </w:r>
    </w:p>
    <w:p>
      <w:pPr>
        <w:pStyle w:val="BodyText"/>
      </w:pPr>
      <w:r>
        <w:t xml:space="preserve">Threshold-release systems already cover important parts of the design space. ETHTID studies deployable threshold information disclosure on Ethereum; Ferveo and BEAT-MEV apply threshold decryption to encrypted transaction ordering; vetKeys and time-lock encrypted storage address controlled blockchain disclosure; and context-dependent threshold decryption provides established context-isolation machinery</w:t>
      </w:r>
      <w:r>
        <w:t xml:space="preserve"> </w:t>
      </w:r>
      <w:r>
        <w:t xml:space="preserve">[6–11]</w:t>
      </w:r>
      <w:r>
        <w:t xml:space="preserve">. EigenAI provides adjacent encrypted/verifiable AI execution context rather than evidence for the present availability claim</w:t>
      </w:r>
      <w:r>
        <w:t xml:space="preserve"> </w:t>
      </w:r>
      <w:r>
        <w:t xml:space="preserve">[12]</w:t>
      </w:r>
      <w:r>
        <w:t xml:space="preserve">. Accountability for threshold-decryption misbehavior and accountable liveness also constrain what public evidence can establish</w:t>
      </w:r>
      <w:r>
        <w:t xml:space="preserve"> </w:t>
      </w:r>
      <w:r>
        <w:t xml:space="preserve">[13, 14]</w:t>
      </w:r>
      <w:r>
        <w:t xml:space="preserve">.</w:t>
      </w:r>
    </w:p>
    <w:p>
      <w:pPr>
        <w:pStyle w:val="BodyText"/>
      </w:pPr>
      <w:r>
        <w:t xml:space="preserve">The bounded prior-art review therefore rejects broad primitive novelty. The surviving research hypothesis is whether the exact rollup-dispute framing—ciphertext/serviceability separation, pre-authorization canary exercise, explicit catastrophic false-accept analysis, correlated-failure qualification, and deadline evidence—constitutes a materially useful systems contribution. Absence of a single combined predecessor in the bounded search is not proof of novelty.</w:t>
      </w:r>
    </w:p>
    <w:bookmarkEnd w:id="11"/>
    <w:bookmarkStart w:id="19" w:name="system-and-threat-model"/>
    <w:p>
      <w:pPr>
        <w:pStyle w:val="Heading1"/>
      </w:pPr>
      <w:r>
        <w:t xml:space="preserve">System and Threat Model</w:t>
      </w:r>
    </w:p>
    <w:bookmarkStart w:id="12" w:name="entities-and-records"/>
    <w:p>
      <w:pPr>
        <w:pStyle w:val="Heading2"/>
      </w:pPr>
      <w:r>
        <w:t xml:space="preserve">Entities and records</w:t>
      </w:r>
    </w:p>
    <w:p>
      <w:pPr>
        <w:pStyle w:val="FirstParagraph"/>
      </w:pPr>
      <w:r>
        <w:t xml:space="preserve">An epoch</w:t>
      </w:r>
      <w:r>
        <w:t xml:space="preserve"> </w:t>
      </w:r>
      <m:oMath>
        <m:r>
          <m:t>E</m:t>
        </m:r>
      </m:oMath>
      <w:r>
        <w:t xml:space="preserve"> </w:t>
      </w:r>
      <w:r>
        <w:t xml:space="preserve">contains</w:t>
      </w:r>
      <w:r>
        <w:t xml:space="preserve"> </w:t>
      </w:r>
      <m:oMath>
        <m:r>
          <m:t>n</m:t>
        </m:r>
      </m:oMath>
      <w:r>
        <w:t xml:space="preserve"> </w:t>
      </w:r>
      <w:r>
        <w:t xml:space="preserve">custodians and a threshold</w:t>
      </w:r>
      <w:r>
        <w:t xml:space="preserve"> </w:t>
      </w:r>
      <m:oMath>
        <m:r>
          <m:t>t</m:t>
        </m:r>
      </m:oMath>
      <w:r>
        <w:t xml:space="preserve">. Custodian</w:t>
      </w:r>
      <w:r>
        <w:t xml:space="preserve"> </w:t>
      </w:r>
      <m:oMath>
        <m:r>
          <m:t>i</m:t>
        </m:r>
      </m:oMath>
      <w:r>
        <w:t xml:space="preserve"> </w:t>
      </w:r>
      <w:r>
        <w:t xml:space="preserve">holds share</w:t>
      </w:r>
      <w:r>
        <w:t xml:space="preserve"> </w:t>
      </w:r>
      <m:oMath>
        <m:sSub>
          <m:e>
            <m:r>
              <m:t>x</m:t>
            </m:r>
          </m:e>
          <m:sub>
            <m:r>
              <m:t>i</m:t>
            </m:r>
          </m:sub>
        </m:sSub>
      </m:oMath>
      <w:r>
        <w:t xml:space="preserve"> </w:t>
      </w:r>
      <w:r>
        <w:t xml:space="preserve">and registers public share</w:t>
      </w:r>
      <w:r>
        <w:t xml:space="preserve"> </w:t>
      </w:r>
      <m:oMath>
        <m:sSub>
          <m:e>
            <m:r>
              <m:t>Y</m:t>
            </m:r>
          </m:e>
          <m:sub>
            <m:r>
              <m:t>i</m:t>
            </m:r>
          </m:sub>
        </m:sSub>
        <m:r>
          <m:rPr>
            <m:sty m:val="p"/>
          </m:rPr>
          <m:t>=</m:t>
        </m:r>
        <m:sSup>
          <m:e>
            <m:r>
              <m:t>g</m:t>
            </m:r>
          </m:e>
          <m:sup>
            <m:sSub>
              <m:e>
                <m:r>
                  <m:t>x</m:t>
                </m:r>
              </m:e>
              <m:sub>
                <m:r>
                  <m:t>i</m:t>
                </m:r>
              </m:sub>
            </m:sSub>
          </m:sup>
        </m:sSup>
      </m:oMath>
      <w:r>
        <w:t xml:space="preserve">. A rollup worker encrypts record</w:t>
      </w:r>
      <w:r>
        <w:t xml:space="preserve"> </w:t>
      </w:r>
      <m:oMath>
        <m:r>
          <m:t>r</m:t>
        </m:r>
      </m:oMath>
      <w:r>
        <w:t xml:space="preserve"> </w:t>
      </w:r>
      <w:r>
        <w:t xml:space="preserve">using a fresh symmetric key</w:t>
      </w:r>
      <w:r>
        <w:t xml:space="preserve"> </w:t>
      </w:r>
      <m:oMath>
        <m:sSub>
          <m:e>
            <m:r>
              <m:t>K</m:t>
            </m:r>
          </m:e>
          <m:sub>
            <m:r>
              <m:t>r</m:t>
            </m:r>
          </m:sub>
        </m:sSub>
      </m:oMath>
      <w:r>
        <w:t xml:space="preserve"> </w:t>
      </w:r>
      <w:r>
        <w:t xml:space="preserve">and an authenticated-encryption scheme. The worker wraps</w:t>
      </w:r>
      <w:r>
        <w:t xml:space="preserve"> </w:t>
      </w:r>
      <m:oMath>
        <m:sSub>
          <m:e>
            <m:r>
              <m:t>K</m:t>
            </m:r>
          </m:e>
          <m:sub>
            <m:r>
              <m:t>r</m:t>
            </m:r>
          </m:sub>
        </m:sSub>
      </m:oMath>
      <w:r>
        <w:t xml:space="preserve"> </w:t>
      </w:r>
      <w:r>
        <w:t xml:space="preserve">through a threshold Diffie–Hellman KEM under the epoch public key</w:t>
      </w:r>
      <w:r>
        <w:t xml:space="preserve"> </w:t>
      </w:r>
      <m:oMath>
        <m:r>
          <m:t>P</m:t>
        </m:r>
        <m:sSub>
          <m:e>
            <m:r>
              <m:t>K</m:t>
            </m:r>
          </m:e>
          <m:sub>
            <m:r>
              <m:t>E</m:t>
            </m:r>
          </m:sub>
        </m:sSub>
      </m:oMath>
      <w:r>
        <w:t xml:space="preserve"> </w:t>
      </w:r>
      <w:r>
        <w:t xml:space="preserve">and publishes the encrypted record and receipt to a data-availability layer. The settlement layer records the relevant commitment, policy, request, and deadline events.</w:t>
      </w:r>
    </w:p>
    <w:p>
      <w:pPr>
        <w:pStyle w:val="BodyText"/>
      </w:pPr>
      <w:r>
        <w:t xml:space="preserve">The model includes the rollup worker, data-availability layer, custodian committee, randomness beacon, audit coordinator, policy/dispute contract, authorized verifier/combiner, and adjudication logic. The ledger supplies an ordered public clock. Cryptographic evidence for an invalid proof or equivocation is positive evidence; attributing a missed deadline to malicious behavior additionally requires a declared synchrony and delivery assumption.</w:t>
      </w:r>
    </w:p>
    <w:bookmarkEnd w:id="12"/>
    <w:bookmarkStart w:id="13" w:name="readiness-and-security-properties"/>
    <w:p>
      <w:pPr>
        <w:pStyle w:val="Heading2"/>
      </w:pPr>
      <w:r>
        <w:t xml:space="preserve">Readiness and security properties</w:t>
      </w:r>
    </w:p>
    <w:p>
      <w:pPr>
        <w:pStyle w:val="FirstParagraph"/>
      </w:pPr>
      <w:r>
        <w:t xml:space="preserve">For request type</w:t>
      </w:r>
      <w:r>
        <w:t xml:space="preserve"> </w:t>
      </w:r>
      <m:oMath>
        <m:r>
          <m:t>u</m:t>
        </m:r>
        <m:r>
          <m:rPr>
            <m:sty m:val="p"/>
          </m:rPr>
          <m:t>∈</m:t>
        </m:r>
        <m:r>
          <m:rPr>
            <m:sty m:val="p"/>
          </m:rPr>
          <m:t>{</m:t>
        </m:r>
        <m:r>
          <m:rPr>
            <m:scr m:val="sans-serif"/>
            <m:sty m:val="p"/>
          </m:rPr>
          <m:t>a</m:t>
        </m:r>
        <m:r>
          <m:rPr>
            <m:scr m:val="sans-serif"/>
            <m:sty m:val="p"/>
          </m:rPr>
          <m:t>u</m:t>
        </m:r>
        <m:r>
          <m:rPr>
            <m:scr m:val="sans-serif"/>
            <m:sty m:val="p"/>
          </m:rPr>
          <m:t>d</m:t>
        </m:r>
        <m:r>
          <m:rPr>
            <m:scr m:val="sans-serif"/>
            <m:sty m:val="p"/>
          </m:rPr>
          <m:t>i</m:t>
        </m:r>
        <m:r>
          <m:rPr>
            <m:scr m:val="sans-serif"/>
            <m:sty m:val="p"/>
          </m:rPr>
          <m:t>t</m:t>
        </m:r>
        <m:r>
          <m:rPr>
            <m:sty m:val="p"/>
          </m:rPr>
          <m:t>,</m:t>
        </m:r>
        <m:r>
          <m:rPr>
            <m:scr m:val="sans-serif"/>
            <m:sty m:val="p"/>
          </m:rPr>
          <m:t>d</m:t>
        </m:r>
        <m:r>
          <m:rPr>
            <m:scr m:val="sans-serif"/>
            <m:sty m:val="p"/>
          </m:rPr>
          <m:t>i</m:t>
        </m:r>
        <m:r>
          <m:rPr>
            <m:scr m:val="sans-serif"/>
            <m:sty m:val="p"/>
          </m:rPr>
          <m:t>s</m:t>
        </m:r>
        <m:r>
          <m:rPr>
            <m:scr m:val="sans-serif"/>
            <m:sty m:val="p"/>
          </m:rPr>
          <m:t>p</m:t>
        </m:r>
        <m:r>
          <m:rPr>
            <m:scr m:val="sans-serif"/>
            <m:sty m:val="p"/>
          </m:rPr>
          <m:t>u</m:t>
        </m:r>
        <m:r>
          <m:rPr>
            <m:scr m:val="sans-serif"/>
            <m:sty m:val="p"/>
          </m:rPr>
          <m:t>t</m:t>
        </m:r>
        <m:r>
          <m:rPr>
            <m:scr m:val="sans-serif"/>
            <m:sty m:val="p"/>
          </m:rPr>
          <m:t>e</m:t>
        </m:r>
        <m:r>
          <m:rPr>
            <m:sty m:val="p"/>
          </m:rPr>
          <m:t>}</m:t>
        </m:r>
      </m:oMath>
      <w:r>
        <w:t xml:space="preserve">, define</w:t>
      </w:r>
    </w:p>
    <w:p>
      <w:pPr>
        <w:pStyle w:val="BodyText"/>
      </w:pPr>
      <m:oMathPara>
        <m:oMathParaPr>
          <m:jc m:val="center"/>
        </m:oMathParaPr>
        <m:oMath>
          <m:sSub>
            <m:e>
              <m:r>
                <m:rPr>
                  <m:sty m:val="p"/>
                </m:rPr>
                <m:t>R</m:t>
              </m:r>
              <m:r>
                <m:rPr>
                  <m:sty m:val="p"/>
                </m:rPr>
                <m:t>e</m:t>
              </m:r>
              <m:r>
                <m:rPr>
                  <m:sty m:val="p"/>
                </m:rPr>
                <m:t>a</m:t>
              </m:r>
              <m:r>
                <m:rPr>
                  <m:sty m:val="p"/>
                </m:rPr>
                <m:t>d</m:t>
              </m:r>
              <m:r>
                <m:rPr>
                  <m:sty m:val="p"/>
                </m:rPr>
                <m:t>y</m:t>
              </m:r>
            </m:e>
            <m:sub>
              <m:r>
                <m:t>i</m:t>
              </m:r>
            </m:sub>
          </m:sSub>
          <m:r>
            <m:rPr>
              <m:sty m:val="p"/>
            </m:rPr>
            <m:t>(</m:t>
          </m:r>
          <m:r>
            <m:t>E</m:t>
          </m:r>
          <m:r>
            <m:rPr>
              <m:sty m:val="p"/>
            </m:rPr>
            <m:t>,</m:t>
          </m:r>
          <m:r>
            <m:t>τ</m:t>
          </m:r>
          <m:r>
            <m:rPr>
              <m:sty m:val="p"/>
            </m:rPr>
            <m:t>,</m:t>
          </m:r>
          <m:r>
            <m:t>u</m:t>
          </m:r>
          <m:r>
            <m:rPr>
              <m:sty m:val="p"/>
            </m:rPr>
            <m:t>,</m:t>
          </m:r>
          <m:r>
            <m:rPr>
              <m:sty m:val="p"/>
            </m:rPr>
            <m:t>Δ</m:t>
          </m:r>
          <m:r>
            <m:rPr>
              <m:sty m:val="p"/>
            </m:rPr>
            <m:t>)</m:t>
          </m:r>
          <m:r>
            <m:rPr>
              <m:sty m:val="p"/>
            </m:rPr>
            <m:t>=</m:t>
          </m:r>
          <m:r>
            <m:t>1</m:t>
          </m:r>
        </m:oMath>
      </m:oMathPara>
    </w:p>
    <w:p>
      <w:pPr>
        <w:pStyle w:val="FirstParagraph"/>
      </w:pPr>
      <w:r>
        <w:t xml:space="preserve">iff custodian</w:t>
      </w:r>
      <w:r>
        <w:t xml:space="preserve"> </w:t>
      </w:r>
      <m:oMath>
        <m:r>
          <m:t>i</m:t>
        </m:r>
      </m:oMath>
      <w:r>
        <w:t xml:space="preserve"> </w:t>
      </w:r>
      <w:r>
        <w:t xml:space="preserve">can access its valid current share, execute the required operation, generate a valid proof, and deliver its response by</w:t>
      </w:r>
      <w:r>
        <w:t xml:space="preserve"> </w:t>
      </w:r>
      <m:oMath>
        <m:r>
          <m:t>τ</m:t>
        </m:r>
        <m:r>
          <m:rPr>
            <m:sty m:val="p"/>
          </m:rPr>
          <m:t>+</m:t>
        </m:r>
        <m:r>
          <m:rPr>
            <m:sty m:val="p"/>
          </m:rPr>
          <m:t>Δ</m:t>
        </m:r>
      </m:oMath>
      <w:r>
        <w:t xml:space="preserve">. Audit and dispute readiness are intentionally different: a target-aware custodian may answer a canary but refuse a particular dispute.</w:t>
      </w:r>
    </w:p>
    <w:p>
      <w:pPr>
        <w:pStyle w:val="BodyText"/>
      </w:pPr>
      <w:r>
        <w:t xml:space="preserve">The relevant properties are:</w:t>
      </w:r>
    </w:p>
    <w:p>
      <w:pPr>
        <w:numPr>
          <w:ilvl w:val="0"/>
          <w:numId w:val="1002"/>
        </w:numPr>
      </w:pPr>
      <w:r>
        <w:rPr>
          <w:b/>
          <w:bCs/>
        </w:rPr>
        <w:t xml:space="preserve">Ciphertext availability (</w:t>
      </w:r>
      <m:oMath>
        <m:r>
          <m:rPr>
            <m:sty m:val="p"/>
          </m:rPr>
          <m:t>C</m:t>
        </m:r>
        <m:r>
          <m:rPr>
            <m:sty m:val="p"/>
          </m:rPr>
          <m:t>A</m:t>
        </m:r>
      </m:oMath>
      <w:r>
        <w:rPr>
          <w:b/>
          <w:bCs/>
        </w:rPr>
        <w:t xml:space="preserve">).</w:t>
      </w:r>
      <w:r>
        <w:t xml:space="preserve"> </w:t>
      </w:r>
      <w:r>
        <w:t xml:space="preserve">The encrypted record and receipt bytes are retrievable from the data-availability layer.</w:t>
      </w:r>
    </w:p>
    <w:p>
      <w:pPr>
        <w:numPr>
          <w:ilvl w:val="0"/>
          <w:numId w:val="1002"/>
        </w:numPr>
      </w:pPr>
      <w:r>
        <w:rPr>
          <w:b/>
          <w:bCs/>
        </w:rPr>
        <w:t xml:space="preserve">Valid-share registration.</w:t>
      </w:r>
      <w:r>
        <w:t xml:space="preserve"> </w:t>
      </w:r>
      <w:r>
        <w:t xml:space="preserve">The registered shares are consistent with one epoch threshold key according to the adopted DKG/VSS/PVSS layer.</w:t>
      </w:r>
    </w:p>
    <w:p>
      <w:pPr>
        <w:numPr>
          <w:ilvl w:val="0"/>
          <w:numId w:val="1002"/>
        </w:numPr>
      </w:pPr>
      <w:r>
        <w:rPr>
          <w:b/>
          <w:bCs/>
        </w:rPr>
        <w:t xml:space="preserve">Audit-time key-service readiness (</w:t>
      </w:r>
      <m:oMath>
        <m:r>
          <m:rPr>
            <m:sty m:val="p"/>
          </m:rPr>
          <m:t>A</m:t>
        </m:r>
        <m:r>
          <m:rPr>
            <m:sty m:val="p"/>
          </m:rPr>
          <m:t>K</m:t>
        </m:r>
        <m:r>
          <m:rPr>
            <m:sty m:val="p"/>
          </m:rPr>
          <m:t>R</m:t>
        </m:r>
      </m:oMath>
      <w:r>
        <w:rPr>
          <w:b/>
          <w:bCs/>
        </w:rPr>
        <w:t xml:space="preserve">).</w:t>
      </w:r>
      <w:r>
        <w:t xml:space="preserve"> </w:t>
      </w:r>
      <w:r>
        <w:t xml:space="preserve">At least</w:t>
      </w:r>
      <w:r>
        <w:t xml:space="preserve"> </w:t>
      </w:r>
      <m:oMath>
        <m:r>
          <m:t>q</m:t>
        </m:r>
      </m:oMath>
      <w:r>
        <w:t xml:space="preserve"> </w:t>
      </w:r>
      <w:r>
        <w:t xml:space="preserve">members of a sampled set return valid, context-bound canary partial decryptions by the audit deadline.</w:t>
      </w:r>
    </w:p>
    <w:p>
      <w:pPr>
        <w:numPr>
          <w:ilvl w:val="0"/>
          <w:numId w:val="1002"/>
        </w:numPr>
      </w:pPr>
      <w:r>
        <w:rPr>
          <w:b/>
          <w:bCs/>
        </w:rPr>
        <w:t xml:space="preserve">Authorized decryptability.</w:t>
      </w:r>
      <w:r>
        <w:t xml:space="preserve"> </w:t>
      </w:r>
      <w:r>
        <w:t xml:space="preserve">Following valid authorization, an approved combiner obtains at least</w:t>
      </w:r>
      <w:r>
        <w:t xml:space="preserve"> </w:t>
      </w:r>
      <m:oMath>
        <m:r>
          <m:t>t</m:t>
        </m:r>
      </m:oMath>
      <w:r>
        <w:t xml:space="preserve"> </w:t>
      </w:r>
      <w:r>
        <w:t xml:space="preserve">distinct valid partial decryptions of the target record component.</w:t>
      </w:r>
    </w:p>
    <w:p>
      <w:pPr>
        <w:numPr>
          <w:ilvl w:val="0"/>
          <w:numId w:val="1002"/>
        </w:numPr>
      </w:pPr>
      <w:r>
        <w:rPr>
          <w:b/>
          <w:bCs/>
        </w:rPr>
        <w:t xml:space="preserve">Dispute deadline liveness (</w:t>
      </w:r>
      <m:oMath>
        <m:r>
          <m:rPr>
            <m:sty m:val="p"/>
          </m:rPr>
          <m:t>D</m:t>
        </m:r>
        <m:r>
          <m:rPr>
            <m:sty m:val="p"/>
          </m:rPr>
          <m:t>D</m:t>
        </m:r>
        <m:r>
          <m:rPr>
            <m:sty m:val="p"/>
          </m:rPr>
          <m:t>L</m:t>
        </m:r>
      </m:oMath>
      <w:r>
        <w:rPr>
          <w:b/>
          <w:bCs/>
        </w:rPr>
        <w:t xml:space="preserve">).</w:t>
      </w:r>
      <w:r>
        <w:t xml:space="preserve"> </w:t>
      </w:r>
      <w:r>
        <w:t xml:space="preserve">Authorized decryptability completes by the dispute deadline.</w:t>
      </w:r>
    </w:p>
    <w:p>
      <w:pPr>
        <w:numPr>
          <w:ilvl w:val="0"/>
          <w:numId w:val="1002"/>
        </w:numPr>
      </w:pPr>
      <w:r>
        <w:rPr>
          <w:b/>
          <w:bCs/>
        </w:rPr>
        <w:t xml:space="preserve">Pre-authorization confidentiality (</w:t>
      </w:r>
      <m:oMath>
        <m:r>
          <m:rPr>
            <m:sty m:val="p"/>
          </m:rPr>
          <m:t>P</m:t>
        </m:r>
        <m:r>
          <m:rPr>
            <m:sty m:val="p"/>
          </m:rPr>
          <m:t>A</m:t>
        </m:r>
        <m:r>
          <m:rPr>
            <m:sty m:val="p"/>
          </m:rPr>
          <m:t>C</m:t>
        </m:r>
      </m:oMath>
      <w:r>
        <w:rPr>
          <w:b/>
          <w:bCs/>
        </w:rPr>
        <w:t xml:space="preserve">).</w:t>
      </w:r>
      <w:r>
        <w:t xml:space="preserve"> </w:t>
      </w:r>
      <w:r>
        <w:t xml:space="preserve">Before authorization, an adversary controlling fewer than</w:t>
      </w:r>
      <w:r>
        <w:t xml:space="preserve"> </w:t>
      </w:r>
      <m:oMath>
        <m:r>
          <m:t>t</m:t>
        </m:r>
      </m:oMath>
      <w:r>
        <w:t xml:space="preserve"> </w:t>
      </w:r>
      <w:r>
        <w:t xml:space="preserve">current shares learns no information about the record key beyond leakage from the base encryption and metadata scheme.</w:t>
      </w:r>
    </w:p>
    <w:p>
      <w:pPr>
        <w:pStyle w:val="FirstParagraph"/>
      </w:pPr>
      <w:r>
        <w:t xml:space="preserve">KEYSTONE defines</w:t>
      </w:r>
      <w:r>
        <w:t xml:space="preserve"> </w:t>
      </w:r>
      <m:oMath>
        <m:r>
          <m:rPr>
            <m:sty m:val="p"/>
          </m:rPr>
          <m:t>(</m:t>
        </m:r>
        <m:r>
          <m:t>ε</m:t>
        </m:r>
        <m:r>
          <m:rPr>
            <m:sty m:val="p"/>
          </m:rPr>
          <m:t>,</m:t>
        </m:r>
        <m:sSub>
          <m:e>
            <m:r>
              <m:rPr>
                <m:sty m:val="p"/>
              </m:rPr>
              <m:t>Δ</m:t>
            </m:r>
          </m:e>
          <m:sub>
            <m:r>
              <m:t>d</m:t>
            </m:r>
          </m:sub>
        </m:sSub>
        <m:r>
          <m:rPr>
            <m:sty m:val="p"/>
          </m:rPr>
          <m:t>)</m:t>
        </m:r>
      </m:oMath>
      <w:r>
        <w:t xml:space="preserve">-DKA as the conditional property that, following valid authorization and under the stated readiness and network assumptions, the combiner obtains</w:t>
      </w:r>
      <w:r>
        <w:t xml:space="preserve"> </w:t>
      </w:r>
      <m:oMath>
        <m:r>
          <m:t>t</m:t>
        </m:r>
      </m:oMath>
      <w:r>
        <w:t xml:space="preserve"> </w:t>
      </w:r>
      <w:r>
        <w:t xml:space="preserve">valid contributions by</w:t>
      </w:r>
      <w:r>
        <w:t xml:space="preserve"> </w:t>
      </w:r>
      <m:oMath>
        <m:r>
          <m:t>τ</m:t>
        </m:r>
        <m:r>
          <m:rPr>
            <m:sty m:val="p"/>
          </m:rPr>
          <m:t>+</m:t>
        </m:r>
        <m:sSub>
          <m:e>
            <m:r>
              <m:rPr>
                <m:sty m:val="p"/>
              </m:rPr>
              <m:t>Δ</m:t>
            </m:r>
          </m:e>
          <m:sub>
            <m:r>
              <m:t>d</m:t>
            </m:r>
          </m:sub>
        </m:sSub>
      </m:oMath>
      <w:r>
        <w:t xml:space="preserve"> </w:t>
      </w:r>
      <w:r>
        <w:t xml:space="preserve">with probability at least</w:t>
      </w:r>
      <w:r>
        <w:t xml:space="preserve"> </w:t>
      </w:r>
      <m:oMath>
        <m:r>
          <m:t>1</m:t>
        </m:r>
        <m:r>
          <m:rPr>
            <m:sty m:val="p"/>
          </m:rPr>
          <m:t>−</m:t>
        </m:r>
        <m:r>
          <m:t>ε</m:t>
        </m:r>
      </m:oMath>
      <w:r>
        <w:t xml:space="preserve">, while</w:t>
      </w:r>
      <w:r>
        <w:t xml:space="preserve"> </w:t>
      </w:r>
      <m:oMath>
        <m:r>
          <m:rPr>
            <m:sty m:val="p"/>
          </m:rPr>
          <m:t>P</m:t>
        </m:r>
        <m:r>
          <m:rPr>
            <m:sty m:val="p"/>
          </m:rPr>
          <m:t>A</m:t>
        </m:r>
        <m:r>
          <m:rPr>
            <m:sty m:val="p"/>
          </m:rPr>
          <m:t>C</m:t>
        </m:r>
      </m:oMath>
      <w:r>
        <w:t xml:space="preserve"> </w:t>
      </w:r>
      <w:r>
        <w:t xml:space="preserve">holds before authorization. DKA is thus a deadline-bounded service property rather than an unconditional promise of future key availability.</w:t>
      </w:r>
    </w:p>
    <w:bookmarkEnd w:id="13"/>
    <w:bookmarkStart w:id="18" w:name="adversaries-and-exclusions"/>
    <w:p>
      <w:pPr>
        <w:pStyle w:val="Heading2"/>
      </w:pPr>
      <w:r>
        <w:t xml:space="preserve">Adversaries and exclusions</w:t>
      </w:r>
    </w:p>
    <w:p>
      <w:pPr>
        <w:pStyle w:val="FirstParagraph"/>
      </w:pPr>
      <w:r>
        <w:t xml:space="preserve">The model considers independent crash faults, provider/region/software-domain correlated outages, invalid or equivocal responses, changing compromise across epochs, selective withholding, beacon prediction or substitution, and unauthorized requests. Confidentiality assumes fewer than</w:t>
      </w:r>
      <w:r>
        <w:t xml:space="preserve"> </w:t>
      </w:r>
      <m:oMath>
        <m:r>
          <m:t>t</m:t>
        </m:r>
      </m:oMath>
      <w:r>
        <w:t xml:space="preserve"> </w:t>
      </w:r>
      <w:r>
        <w:t xml:space="preserve">current shares are compromised. Production DKG/PVSS security, malicious authorized verifiers, arbitrary asynchronous partitions, and fully adaptive selective-withholding resistance remain out of scope.</w:t>
      </w:r>
    </w:p>
    <w:bookmarkStart w:id="17" w:name="fig:architecture"/>
    <w:p>
      <w:pPr>
        <w:pStyle w:val="CaptionedFigure"/>
      </w:pPr>
      <w:r>
        <w:drawing>
          <wp:inline>
            <wp:extent cx="5013960" cy="4136517"/>
            <wp:effectExtent b="0" l="0" r="0" t="0"/>
            <wp:docPr descr="" title="" id="15" name="Picture"/>
            <a:graphic>
              <a:graphicData uri="http://schemas.openxmlformats.org/drawingml/2006/picture">
                <pic:pic>
                  <pic:nvPicPr>
                    <pic:cNvPr descr="../../diagrams/01_system_architecture.png" id="16" name="Picture"/>
                    <pic:cNvPicPr>
                      <a:picLocks noChangeArrowheads="1" noChangeAspect="1"/>
                    </pic:cNvPicPr>
                  </pic:nvPicPr>
                  <pic:blipFill>
                    <a:blip r:embed="rId14"/>
                    <a:stretch>
                      <a:fillRect/>
                    </a:stretch>
                  </pic:blipFill>
                  <pic:spPr bwMode="auto">
                    <a:xfrm>
                      <a:off x="0" y="0"/>
                      <a:ext cx="5013960" cy="4136517"/>
                    </a:xfrm>
                    <a:prstGeom prst="rect">
                      <a:avLst/>
                    </a:prstGeom>
                    <a:noFill/>
                    <a:ln w="9525">
                      <a:noFill/>
                      <a:headEnd/>
                      <a:tailEnd/>
                    </a:ln>
                  </pic:spPr>
                </pic:pic>
              </a:graphicData>
            </a:graphic>
          </wp:inline>
        </w:drawing>
      </w:r>
    </w:p>
    <w:p>
      <w:pPr>
        <w:pStyle w:val="ImageCaption"/>
      </w:pPr>
      <w:r>
        <w:t xml:space="preserve">KEYSTONE architecture. Ciphertext publication, routine canary auditing, and authorized dispute-key release are separate paths. The diagram specifies the proposed interface; it does not establish that any component is externally deployed or production-secure.</w:t>
      </w:r>
    </w:p>
    <w:bookmarkEnd w:id="17"/>
    <w:bookmarkEnd w:id="18"/>
    <w:bookmarkEnd w:id="19"/>
    <w:bookmarkStart w:id="23" w:name="keystone-protocol"/>
    <w:p>
      <w:pPr>
        <w:pStyle w:val="Heading1"/>
      </w:pPr>
      <w:r>
        <w:t xml:space="preserve">KEYSTONE Protocol</w:t>
      </w:r>
    </w:p>
    <w:p>
      <w:pPr>
        <w:pStyle w:val="FirstParagraph"/>
      </w:pPr>
      <w:r>
        <w:t xml:space="preserve">Figure </w:t>
      </w:r>
      <w:hyperlink w:anchor="fig:architecture">
        <w:r>
          <w:rPr>
            <w:rStyle w:val="Hyperlink"/>
          </w:rPr>
          <w:t xml:space="preserve">1</w:t>
        </w:r>
      </w:hyperlink>
      <w:r>
        <w:t xml:space="preserve"> </w:t>
      </w:r>
      <w:r>
        <w:t xml:space="preserve">summarizes the architecture. One threshold public key protects many record-specific data keys; custodians do not store one Shamir object per record.</w:t>
      </w:r>
    </w:p>
    <w:bookmarkStart w:id="20" w:name="epoch-setup-and-record-sealing"/>
    <w:p>
      <w:pPr>
        <w:pStyle w:val="Heading2"/>
      </w:pPr>
      <w:r>
        <w:t xml:space="preserve">Epoch setup and record sealing</w:t>
      </w:r>
    </w:p>
    <w:p>
      <w:pPr>
        <w:pStyle w:val="FirstParagraph"/>
      </w:pPr>
      <w:r>
        <w:t xml:space="preserve">The committee is formed subject to identity, stake, and failure-domain placement policy. A production system would use an authenticated DKG or PVSS; the current prototype uses a dealer and Feldman commitments only as a substitution boundary. The worker encrypts the record with AES-256-GCM under</w:t>
      </w:r>
      <w:r>
        <w:t xml:space="preserve"> </w:t>
      </w:r>
      <m:oMath>
        <m:sSub>
          <m:e>
            <m:r>
              <m:t>K</m:t>
            </m:r>
          </m:e>
          <m:sub>
            <m:r>
              <m:t>r</m:t>
            </m:r>
          </m:sub>
        </m:sSub>
      </m:oMath>
      <w:r>
        <w:t xml:space="preserve">, publishes threshold-KEM component</w:t>
      </w:r>
      <w:r>
        <w:t xml:space="preserve"> </w:t>
      </w:r>
      <m:oMath>
        <m:sSub>
          <m:e>
            <m:r>
              <m:t>C</m:t>
            </m:r>
          </m:e>
          <m:sub>
            <m:r>
              <m:t>1</m:t>
            </m:r>
          </m:sub>
        </m:sSub>
        <m:r>
          <m:rPr>
            <m:sty m:val="p"/>
          </m:rPr>
          <m:t>=</m:t>
        </m:r>
        <m:sSup>
          <m:e>
            <m:r>
              <m:t>g</m:t>
            </m:r>
          </m:e>
          <m:sup>
            <m:r>
              <m:t>r</m:t>
            </m:r>
          </m:sup>
        </m:sSup>
      </m:oMath>
      <w:r>
        <w:t xml:space="preserve">, derives</w:t>
      </w:r>
      <w:r>
        <w:t xml:space="preserve"> </w:t>
      </w:r>
      <m:oMath>
        <m:r>
          <m:t>P</m:t>
        </m:r>
        <m:sSubSup>
          <m:e>
            <m:r>
              <m:t>K</m:t>
            </m:r>
          </m:e>
          <m:sub>
            <m:r>
              <m:t>E</m:t>
            </m:r>
          </m:sub>
          <m:sup>
            <m:r>
              <m:t>r</m:t>
            </m:r>
          </m:sup>
        </m:sSubSup>
      </m:oMath>
      <w:r>
        <w:t xml:space="preserve">, and uses the resulting KEM key to wrap</w:t>
      </w:r>
      <w:r>
        <w:t xml:space="preserve"> </w:t>
      </w:r>
      <m:oMath>
        <m:sSub>
          <m:e>
            <m:r>
              <m:t>K</m:t>
            </m:r>
          </m:e>
          <m:sub>
            <m:r>
              <m:t>r</m:t>
            </m:r>
          </m:sub>
        </m:sSub>
      </m:oMath>
      <w:r>
        <w:t xml:space="preserve">. The record envelope binds the epoch, record identifier, ciphertext, authenticated metadata, and data-availability pointer.</w:t>
      </w:r>
    </w:p>
    <w:bookmarkEnd w:id="20"/>
    <w:bookmarkStart w:id="21" w:name="non-production-readiness-audit"/>
    <w:p>
      <w:pPr>
        <w:pStyle w:val="Heading2"/>
      </w:pPr>
      <w:r>
        <w:t xml:space="preserve">Non-production readiness audit</w:t>
      </w:r>
    </w:p>
    <w:p>
      <w:pPr>
        <w:pStyle w:val="FirstParagraph"/>
      </w:pPr>
      <w:r>
        <w:t xml:space="preserve">Before the beacon is known, the coordinator commits the epoch and audit slot. After finalization, the beacon determines a uniform or domain-stratified sample</w:t>
      </w:r>
      <w:r>
        <w:t xml:space="preserve"> </w:t>
      </w:r>
      <m:oMath>
        <m:r>
          <m:t>S</m:t>
        </m:r>
      </m:oMath>
      <w:r>
        <w:t xml:space="preserve"> </w:t>
      </w:r>
      <w:r>
        <w:t xml:space="preserve">of size</w:t>
      </w:r>
      <w:r>
        <w:t xml:space="preserve"> </w:t>
      </w:r>
      <m:oMath>
        <m:r>
          <m:t>s</m:t>
        </m:r>
      </m:oMath>
      <w:r>
        <w:t xml:space="preserve">. All parties derive the same challenge</w:t>
      </w:r>
    </w:p>
    <w:p>
      <w:pPr>
        <w:pStyle w:val="BodyText"/>
      </w:pPr>
      <m:oMathPara>
        <m:oMathParaPr>
          <m:jc m:val="center"/>
        </m:oMathParaPr>
        <m:oMath>
          <m:r>
            <m:t>X</m:t>
          </m:r>
          <m:r>
            <m:rPr>
              <m:sty m:val="p"/>
            </m:rPr>
            <m:t>=</m:t>
          </m:r>
          <m:sSub>
            <m:e>
              <m:r>
                <m:t>H</m:t>
              </m:r>
            </m:e>
            <m:sub>
              <m:r>
                <m:t>G</m:t>
              </m:r>
            </m:sub>
          </m:sSub>
          <m:r>
            <m:rPr>
              <m:sty m:val="p"/>
            </m:rPr>
            <m:t>(</m:t>
          </m:r>
          <m:r>
            <m:rPr>
              <m:nor/>
              <m:scr m:val="monospace"/>
              <m:sty m:val="p"/>
            </m:rPr>
            <m:t>KEYSTONE-CANARY</m:t>
          </m:r>
          <m:r>
            <m:rPr>
              <m:sty m:val="p"/>
            </m:rPr>
            <m:t>∥</m:t>
          </m:r>
          <m:r>
            <m:t>E</m:t>
          </m:r>
          <m:r>
            <m:rPr>
              <m:sty m:val="p"/>
            </m:rPr>
            <m:t>∥</m:t>
          </m:r>
          <m:r>
            <m:rPr>
              <m:scr m:val="sans-serif"/>
              <m:sty m:val="p"/>
            </m:rPr>
            <m:t>s</m:t>
          </m:r>
          <m:r>
            <m:rPr>
              <m:scr m:val="sans-serif"/>
              <m:sty m:val="p"/>
            </m:rPr>
            <m:t>l</m:t>
          </m:r>
          <m:r>
            <m:rPr>
              <m:scr m:val="sans-serif"/>
              <m:sty m:val="p"/>
            </m:rPr>
            <m:t>o</m:t>
          </m:r>
          <m:r>
            <m:rPr>
              <m:scr m:val="sans-serif"/>
              <m:sty m:val="p"/>
            </m:rPr>
            <m:t>t</m:t>
          </m:r>
          <m:r>
            <m:rPr>
              <m:sty m:val="p"/>
            </m:rPr>
            <m:t>∥</m:t>
          </m:r>
          <m:r>
            <m:rPr>
              <m:scr m:val="sans-serif"/>
              <m:sty m:val="p"/>
            </m:rPr>
            <m:t>b</m:t>
          </m:r>
          <m:r>
            <m:rPr>
              <m:scr m:val="sans-serif"/>
              <m:sty m:val="p"/>
            </m:rPr>
            <m:t>e</m:t>
          </m:r>
          <m:r>
            <m:rPr>
              <m:scr m:val="sans-serif"/>
              <m:sty m:val="p"/>
            </m:rPr>
            <m:t>a</m:t>
          </m:r>
          <m:r>
            <m:rPr>
              <m:scr m:val="sans-serif"/>
              <m:sty m:val="p"/>
            </m:rPr>
            <m:t>c</m:t>
          </m:r>
          <m:r>
            <m:rPr>
              <m:scr m:val="sans-serif"/>
              <m:sty m:val="p"/>
            </m:rPr>
            <m:t>o</m:t>
          </m:r>
          <m:r>
            <m:rPr>
              <m:scr m:val="sans-serif"/>
              <m:sty m:val="p"/>
            </m:rPr>
            <m:t>n</m:t>
          </m:r>
          <m:r>
            <m:rPr>
              <m:sty m:val="p"/>
            </m:rPr>
            <m:t>)</m:t>
          </m:r>
          <m:r>
            <m:rPr>
              <m:sty m:val="p"/>
            </m:rPr>
            <m:t>,</m:t>
          </m:r>
        </m:oMath>
      </m:oMathPara>
    </w:p>
    <w:p>
      <w:pPr>
        <w:pStyle w:val="FirstParagraph"/>
      </w:pPr>
      <w:r>
        <w:t xml:space="preserve">where</w:t>
      </w:r>
      <w:r>
        <w:t xml:space="preserve"> </w:t>
      </w:r>
      <m:oMath>
        <m:sSub>
          <m:e>
            <m:r>
              <m:t>H</m:t>
            </m:r>
          </m:e>
          <m:sub>
            <m:r>
              <m:t>G</m:t>
            </m:r>
          </m:sub>
        </m:sSub>
      </m:oMath>
      <w:r>
        <w:t xml:space="preserve"> </w:t>
      </w:r>
      <w:r>
        <w:t xml:space="preserve">is domain separated and does not expose</w:t>
      </w:r>
      <w:r>
        <w:t xml:space="preserve"> </w:t>
      </w:r>
      <m:oMath>
        <m:sSub>
          <m:e>
            <m:r>
              <m:rPr>
                <m:sty m:val="p"/>
              </m:rPr>
              <m:t>log</m:t>
            </m:r>
          </m:e>
          <m:sub>
            <m:r>
              <m:t>g</m:t>
            </m:r>
          </m:sub>
        </m:sSub>
        <m:r>
          <m:t>X</m:t>
        </m:r>
      </m:oMath>
      <w:r>
        <w:t xml:space="preserve">. Sampled custodian</w:t>
      </w:r>
      <w:r>
        <w:t xml:space="preserve"> </w:t>
      </w:r>
      <m:oMath>
        <m:r>
          <m:t>i</m:t>
        </m:r>
      </m:oMath>
      <w:r>
        <w:t xml:space="preserve"> </w:t>
      </w:r>
      <w:r>
        <w:t xml:space="preserve">returns</w:t>
      </w:r>
      <w:r>
        <w:t xml:space="preserve"> </w:t>
      </w:r>
      <m:oMath>
        <m:sSub>
          <m:e>
            <m:r>
              <m:t>D</m:t>
            </m:r>
          </m:e>
          <m:sub>
            <m:r>
              <m:t>i</m:t>
            </m:r>
          </m:sub>
        </m:sSub>
        <m:r>
          <m:rPr>
            <m:sty m:val="p"/>
          </m:rPr>
          <m:t>=</m:t>
        </m:r>
        <m:sSup>
          <m:e>
            <m:r>
              <m:t>X</m:t>
            </m:r>
          </m:e>
          <m:sup>
            <m:sSub>
              <m:e>
                <m:r>
                  <m:t>x</m:t>
                </m:r>
              </m:e>
              <m:sub>
                <m:r>
                  <m:t>i</m:t>
                </m:r>
              </m:sub>
            </m:sSub>
          </m:sup>
        </m:sSup>
      </m:oMath>
      <w:r>
        <w:t xml:space="preserve"> </w:t>
      </w:r>
      <w:r>
        <w:t xml:space="preserve">and a Chaum–Pedersen equality-of-discrete-log proof binding</w:t>
      </w:r>
      <w:r>
        <w:t xml:space="preserve"> </w:t>
      </w:r>
      <m:oMath>
        <m:r>
          <m:rPr>
            <m:sty m:val="p"/>
          </m:rPr>
          <m:t>(</m:t>
        </m:r>
        <m:r>
          <m:t>g</m:t>
        </m:r>
        <m:r>
          <m:rPr>
            <m:sty m:val="p"/>
          </m:rPr>
          <m:t>,</m:t>
        </m:r>
        <m:sSub>
          <m:e>
            <m:r>
              <m:t>Y</m:t>
            </m:r>
          </m:e>
          <m:sub>
            <m:r>
              <m:t>i</m:t>
            </m:r>
          </m:sub>
        </m:sSub>
        <m:r>
          <m:rPr>
            <m:sty m:val="p"/>
          </m:rPr>
          <m:t>,</m:t>
        </m:r>
        <m:r>
          <m:t>X</m:t>
        </m:r>
        <m:r>
          <m:rPr>
            <m:sty m:val="p"/>
          </m:rPr>
          <m:t>,</m:t>
        </m:r>
        <m:sSub>
          <m:e>
            <m:r>
              <m:t>D</m:t>
            </m:r>
          </m:e>
          <m:sub>
            <m:r>
              <m:t>i</m:t>
            </m:r>
          </m:sub>
        </m:sSub>
        <m:r>
          <m:rPr>
            <m:sty m:val="p"/>
          </m:rPr>
          <m:t>)</m:t>
        </m:r>
      </m:oMath>
      <w:r>
        <w:t xml:space="preserve"> </w:t>
      </w:r>
      <w:r>
        <w:t xml:space="preserve">to the request context</w:t>
      </w:r>
      <w:r>
        <w:t xml:space="preserve"> </w:t>
      </w:r>
      <w:r>
        <w:t xml:space="preserve">[15, 16]</w:t>
      </w:r>
      <w:r>
        <w:t xml:space="preserve">. The verifier checks membership, identity, freshness, uniqueness, proof validity, and deadline. The audit accepts after</w:t>
      </w:r>
      <w:r>
        <w:t xml:space="preserve"> </w:t>
      </w:r>
      <m:oMath>
        <m:r>
          <m:t>q</m:t>
        </m:r>
      </m:oMath>
      <w:r>
        <w:t xml:space="preserve"> </w:t>
      </w:r>
      <w:r>
        <w:t xml:space="preserve">valid responses. Because</w:t>
      </w:r>
      <w:r>
        <w:t xml:space="preserve"> </w:t>
      </w:r>
      <m:oMath>
        <m:r>
          <m:t>X</m:t>
        </m:r>
      </m:oMath>
      <w:r>
        <w:t xml:space="preserve"> </w:t>
      </w:r>
      <w:r>
        <w:t xml:space="preserve">is a fresh non-production element, the audit exercises share access and partial-decryption capability without opening a production record.</w:t>
      </w:r>
    </w:p>
    <w:bookmarkEnd w:id="21"/>
    <w:bookmarkStart w:id="22" w:name="authorized-dispute-release"/>
    <w:p>
      <w:pPr>
        <w:pStyle w:val="Heading2"/>
      </w:pPr>
      <w:r>
        <w:t xml:space="preserve">Authorized dispute release</w:t>
      </w:r>
    </w:p>
    <w:p>
      <w:pPr>
        <w:pStyle w:val="FirstParagraph"/>
      </w:pPr>
      <w:r>
        <w:t xml:space="preserve">A dispute begins only after the policy contract accepts a challenge and binds the request to a record, epoch, authorized verifier set, and deadline. Each responding custodian verifies the authorization and returns a partial decryption of the record component</w:t>
      </w:r>
      <w:r>
        <w:t xml:space="preserve"> </w:t>
      </w:r>
      <m:oMath>
        <m:sSub>
          <m:e>
            <m:r>
              <m:t>C</m:t>
            </m:r>
          </m:e>
          <m:sub>
            <m:r>
              <m:t>1</m:t>
            </m:r>
          </m:sub>
        </m:sSub>
      </m:oMath>
      <w:r>
        <w:t xml:space="preserve"> </w:t>
      </w:r>
      <w:r>
        <w:t xml:space="preserve">through the approved channel, together with the permitted proof or commitment. The combiner verifies any</w:t>
      </w:r>
      <w:r>
        <w:t xml:space="preserve"> </w:t>
      </w:r>
      <m:oMath>
        <m:r>
          <m:t>t</m:t>
        </m:r>
      </m:oMath>
      <w:r>
        <w:t xml:space="preserve"> </w:t>
      </w:r>
      <w:r>
        <w:t xml:space="preserve">distinct responses and interpolates in the exponent:</w:t>
      </w:r>
    </w:p>
    <w:p>
      <w:pPr>
        <w:pStyle w:val="BodyText"/>
      </w:pPr>
      <m:oMathPara>
        <m:oMathParaPr>
          <m:jc m:val="center"/>
        </m:oMathParaPr>
        <m:oMath>
          <m:nary>
            <m:naryPr>
              <m:chr m:val="∏"/>
              <m:limLoc m:val="undOvr"/>
              <m:subHide m:val="off"/>
              <m:supHide m:val="on"/>
            </m:naryPr>
            <m:sub>
              <m:r>
                <m:t>i</m:t>
              </m:r>
              <m:r>
                <m:rPr>
                  <m:sty m:val="p"/>
                </m:rPr>
                <m:t>∈</m:t>
              </m:r>
              <m:r>
                <m:t>I</m:t>
              </m:r>
            </m:sub>
            <m:sup>
              <m:r>
                <m:t>​</m:t>
              </m:r>
            </m:sup>
            <m:e>
              <m:r>
                <m:rPr>
                  <m:sty m:val="p"/>
                </m:rPr>
                <m:t>(</m:t>
              </m:r>
            </m:e>
          </m:nary>
          <m:sSubSup>
            <m:e>
              <m:r>
                <m:t>C</m:t>
              </m:r>
            </m:e>
            <m:sub>
              <m:r>
                <m:t>1</m:t>
              </m:r>
            </m:sub>
            <m:sup>
              <m:sSub>
                <m:e>
                  <m:r>
                    <m:t>x</m:t>
                  </m:r>
                </m:e>
                <m:sub>
                  <m:r>
                    <m:t>i</m:t>
                  </m:r>
                </m:sub>
              </m:sSub>
            </m:sup>
          </m:sSubSup>
          <m:sSup>
            <m:e>
              <m:r>
                <m:rPr>
                  <m:sty m:val="p"/>
                </m:rPr>
                <m:t>)</m:t>
              </m:r>
            </m:e>
            <m:sup>
              <m:sSub>
                <m:e>
                  <m:r>
                    <m:t>λ</m:t>
                  </m:r>
                </m:e>
                <m:sub>
                  <m:r>
                    <m:t>i</m:t>
                  </m:r>
                </m:sub>
              </m:sSub>
            </m:sup>
          </m:sSup>
          <m:r>
            <m:rPr>
              <m:sty m:val="p"/>
            </m:rPr>
            <m:t>=</m:t>
          </m:r>
          <m:sSubSup>
            <m:e>
              <m:r>
                <m:t>C</m:t>
              </m:r>
            </m:e>
            <m:sub>
              <m:r>
                <m:t>1</m:t>
              </m:r>
            </m:sub>
            <m:sup>
              <m:nary>
                <m:naryPr>
                  <m:chr m:val="∑"/>
                  <m:limLoc m:val="undOvr"/>
                  <m:subHide m:val="off"/>
                  <m:supHide m:val="on"/>
                </m:naryPr>
                <m:sub>
                  <m:r>
                    <m:t>i</m:t>
                  </m:r>
                  <m:r>
                    <m:rPr>
                      <m:sty m:val="p"/>
                    </m:rPr>
                    <m:t>∈</m:t>
                  </m:r>
                  <m:r>
                    <m:t>I</m:t>
                  </m:r>
                </m:sub>
                <m:sup>
                  <m:r>
                    <m:t>​</m:t>
                  </m:r>
                </m:sup>
                <m:e>
                  <m:sSub>
                    <m:e>
                      <m:r>
                        <m:t>λ</m:t>
                      </m:r>
                    </m:e>
                    <m:sub>
                      <m:r>
                        <m:t>i</m:t>
                      </m:r>
                    </m:sub>
                  </m:sSub>
                </m:e>
              </m:nary>
              <m:sSub>
                <m:e>
                  <m:r>
                    <m:t>x</m:t>
                  </m:r>
                </m:e>
                <m:sub>
                  <m:r>
                    <m:t>i</m:t>
                  </m:r>
                </m:sub>
              </m:sSub>
            </m:sup>
          </m:sSubSup>
          <m:r>
            <m:rPr>
              <m:sty m:val="p"/>
            </m:rPr>
            <m:t>=</m:t>
          </m:r>
          <m:sSubSup>
            <m:e>
              <m:r>
                <m:t>C</m:t>
              </m:r>
            </m:e>
            <m:sub>
              <m:r>
                <m:t>1</m:t>
              </m:r>
            </m:sub>
            <m:sup>
              <m:r>
                <m:t>x</m:t>
              </m:r>
            </m:sup>
          </m:sSubSup>
          <m:r>
            <m:rPr>
              <m:sty m:val="p"/>
            </m:rPr>
            <m:t>=</m:t>
          </m:r>
          <m:r>
            <m:t>P</m:t>
          </m:r>
          <m:sSubSup>
            <m:e>
              <m:r>
                <m:t>K</m:t>
              </m:r>
            </m:e>
            <m:sub>
              <m:r>
                <m:t>E</m:t>
              </m:r>
            </m:sub>
            <m:sup>
              <m:r>
                <m:t>r</m:t>
              </m:r>
            </m:sup>
          </m:sSubSup>
          <m:r>
            <m:rPr>
              <m:sty m:val="p"/>
            </m:rPr>
            <m:t>.</m:t>
          </m:r>
        </m:oMath>
      </m:oMathPara>
    </w:p>
    <w:p>
      <w:pPr>
        <w:pStyle w:val="FirstParagraph"/>
      </w:pPr>
      <w:r>
        <w:t xml:space="preserve">It then derives the KEM key, unwraps</w:t>
      </w:r>
      <w:r>
        <w:t xml:space="preserve"> </w:t>
      </w:r>
      <m:oMath>
        <m:sSub>
          <m:e>
            <m:r>
              <m:t>K</m:t>
            </m:r>
          </m:e>
          <m:sub>
            <m:r>
              <m:t>r</m:t>
            </m:r>
          </m:sub>
        </m:sSub>
      </m:oMath>
      <w:r>
        <w:t xml:space="preserve">, decrypts the record, and performs the authorized verification procedure. The public transcript can record valid, invalid, equivocal, stale, unauthorized, or missing responses while keeping plaintext release policy separate.</w:t>
      </w:r>
    </w:p>
    <w:bookmarkEnd w:id="22"/>
    <w:bookmarkEnd w:id="23"/>
    <w:bookmarkStart w:id="35" w:name="analysis"/>
    <w:p>
      <w:pPr>
        <w:pStyle w:val="Heading1"/>
      </w:pPr>
      <w:r>
        <w:t xml:space="preserve">Analysis</w:t>
      </w:r>
    </w:p>
    <w:bookmarkStart w:id="24" w:name="static-catastrophic-false-acceptance"/>
    <w:p>
      <w:pPr>
        <w:pStyle w:val="Heading2"/>
      </w:pPr>
      <w:r>
        <w:t xml:space="preserve">Static catastrophic false acceptance</w:t>
      </w:r>
    </w:p>
    <w:p>
      <w:pPr>
        <w:pStyle w:val="FirstParagraph"/>
      </w:pPr>
      <w:r>
        <w:t xml:space="preserve">Let exactly</w:t>
      </w:r>
      <w:r>
        <w:t xml:space="preserve"> </w:t>
      </w:r>
      <m:oMath>
        <m:r>
          <m:t>r</m:t>
        </m:r>
        <m:r>
          <m:rPr>
            <m:sty m:val="p"/>
          </m:rPr>
          <m:t>&lt;</m:t>
        </m:r>
        <m:r>
          <m:t>t</m:t>
        </m:r>
      </m:oMath>
      <w:r>
        <w:t xml:space="preserve"> </w:t>
      </w:r>
      <w:r>
        <w:t xml:space="preserve">custodians be audit-ready throughout one request. If</w:t>
      </w:r>
      <w:r>
        <w:t xml:space="preserve"> </w:t>
      </w:r>
      <m:oMath>
        <m:r>
          <m:t>s</m:t>
        </m:r>
      </m:oMath>
      <w:r>
        <w:t xml:space="preserve"> </w:t>
      </w:r>
      <w:r>
        <w:t xml:space="preserve">custodians are sampled uniformly without replacement and acceptance requires at least</w:t>
      </w:r>
      <w:r>
        <w:t xml:space="preserve"> </w:t>
      </w:r>
      <m:oMath>
        <m:r>
          <m:t>q</m:t>
        </m:r>
      </m:oMath>
      <w:r>
        <w:t xml:space="preserve"> </w:t>
      </w:r>
      <w:r>
        <w:t xml:space="preserve">valid responses, then</w:t>
      </w:r>
    </w:p>
    <w:p>
      <w:pPr>
        <w:pStyle w:val="BodyText"/>
      </w:pPr>
      <m:oMathPara>
        <m:oMathParaPr>
          <m:jc m:val="center"/>
        </m:oMathParaPr>
        <m:oMath>
          <m:r>
            <m:rPr>
              <m:sty m:val="p"/>
            </m:rPr>
            <m:t>Pr</m:t>
          </m:r>
          <m:r>
            <m:rPr>
              <m:sty m:val="p"/>
            </m:rPr>
            <m:t>[</m:t>
          </m:r>
          <m:r>
            <m:rPr>
              <m:scr m:val="sans-serif"/>
              <m:sty m:val="p"/>
            </m:rPr>
            <m:t>a</m:t>
          </m:r>
          <m:r>
            <m:rPr>
              <m:scr m:val="sans-serif"/>
              <m:sty m:val="p"/>
            </m:rPr>
            <m:t>c</m:t>
          </m:r>
          <m:r>
            <m:rPr>
              <m:scr m:val="sans-serif"/>
              <m:sty m:val="p"/>
            </m:rPr>
            <m:t>c</m:t>
          </m:r>
          <m:r>
            <m:rPr>
              <m:scr m:val="sans-serif"/>
              <m:sty m:val="p"/>
            </m:rPr>
            <m:t>e</m:t>
          </m:r>
          <m:r>
            <m:rPr>
              <m:scr m:val="sans-serif"/>
              <m:sty m:val="p"/>
            </m:rPr>
            <m:t>p</m:t>
          </m:r>
          <m:r>
            <m:rPr>
              <m:scr m:val="sans-serif"/>
              <m:sty m:val="p"/>
            </m:rPr>
            <m:t>t</m:t>
          </m:r>
          <m:r>
            <m:rPr>
              <m:sty m:val="p"/>
            </m:rPr>
            <m:t>∣</m:t>
          </m:r>
          <m:r>
            <m:t>r</m:t>
          </m:r>
          <m:r>
            <m:rPr>
              <m:sty m:val="p"/>
            </m:rPr>
            <m:t>]</m:t>
          </m:r>
          <m:r>
            <m:rPr>
              <m:sty m:val="p"/>
            </m:rPr>
            <m:t>=</m:t>
          </m:r>
          <m:nary>
            <m:naryPr>
              <m:chr m:val="∑"/>
              <m:limLoc m:val="undOvr"/>
              <m:subHide m:val="off"/>
              <m:supHide m:val="off"/>
            </m:naryPr>
            <m:sub>
              <m:r>
                <m:t>j</m:t>
              </m:r>
              <m:r>
                <m:rPr>
                  <m:sty m:val="p"/>
                </m:rPr>
                <m:t>=</m:t>
              </m:r>
              <m:r>
                <m:t>q</m:t>
              </m:r>
            </m:sub>
            <m:sup>
              <m:r>
                <m:rPr>
                  <m:sty m:val="p"/>
                </m:rPr>
                <m:t>min</m:t>
              </m:r>
              <m:r>
                <m:rPr>
                  <m:sty m:val="p"/>
                </m:rPr>
                <m:t>(</m:t>
              </m:r>
              <m:r>
                <m:t>s</m:t>
              </m:r>
              <m:r>
                <m:rPr>
                  <m:sty m:val="p"/>
                </m:rPr>
                <m:t>,</m:t>
              </m:r>
              <m:r>
                <m:t>r</m:t>
              </m:r>
              <m:r>
                <m:rPr>
                  <m:sty m:val="p"/>
                </m:rPr>
                <m:t>)</m:t>
              </m:r>
            </m:sup>
            <m:e>
              <m:f>
                <m:fPr>
                  <m:type m:val="bar"/>
                </m:fPr>
                <m:num>
                  <m:d>
                    <m:dPr>
                      <m:begChr m:val="("/>
                      <m:sepChr m:val=""/>
                      <m:endChr m:val=")"/>
                      <m:grow/>
                    </m:dPr>
                    <m:e>
                      <m:f>
                        <m:fPr>
                          <m:type m:val="noBar"/>
                        </m:fPr>
                        <m:num>
                          <m:r>
                            <m:t>r</m:t>
                          </m:r>
                        </m:num>
                        <m:den>
                          <m:r>
                            <m:t>j</m:t>
                          </m:r>
                        </m:den>
                      </m:f>
                    </m:e>
                  </m:d>
                  <m:d>
                    <m:dPr>
                      <m:begChr m:val="("/>
                      <m:sepChr m:val=""/>
                      <m:endChr m:val=")"/>
                      <m:grow/>
                    </m:dPr>
                    <m:e>
                      <m:f>
                        <m:fPr>
                          <m:type m:val="noBar"/>
                        </m:fPr>
                        <m:num>
                          <m:r>
                            <m:t>n</m:t>
                          </m:r>
                          <m:r>
                            <m:rPr>
                              <m:sty m:val="p"/>
                            </m:rPr>
                            <m:t>−</m:t>
                          </m:r>
                          <m:r>
                            <m:t>r</m:t>
                          </m:r>
                        </m:num>
                        <m:den>
                          <m:r>
                            <m:t>s</m:t>
                          </m:r>
                          <m:r>
                            <m:rPr>
                              <m:sty m:val="p"/>
                            </m:rPr>
                            <m:t>−</m:t>
                          </m:r>
                          <m:r>
                            <m:t>j</m:t>
                          </m:r>
                        </m:den>
                      </m:f>
                    </m:e>
                  </m:d>
                </m:num>
                <m:den>
                  <m:d>
                    <m:dPr>
                      <m:begChr m:val="("/>
                      <m:sepChr m:val=""/>
                      <m:endChr m:val=")"/>
                      <m:grow/>
                    </m:dPr>
                    <m:e>
                      <m:f>
                        <m:fPr>
                          <m:type m:val="noBar"/>
                        </m:fPr>
                        <m:num>
                          <m:r>
                            <m:t>n</m:t>
                          </m:r>
                        </m:num>
                        <m:den>
                          <m:r>
                            <m:t>s</m:t>
                          </m:r>
                        </m:den>
                      </m:f>
                    </m:e>
                  </m:d>
                </m:den>
              </m:f>
            </m:e>
          </m:nary>
          <m:r>
            <m:rPr>
              <m:sty m:val="p"/>
            </m:rPr>
            <m:t>.</m:t>
          </m:r>
        </m:oMath>
      </m:oMathPara>
    </w:p>
    <w:p>
      <w:pPr>
        <w:pStyle w:val="FirstParagraph"/>
      </w:pPr>
      <w:r>
        <w:t xml:space="preserve">This probability is monotone in</w:t>
      </w:r>
      <w:r>
        <w:t xml:space="preserve"> </w:t>
      </w:r>
      <m:oMath>
        <m:r>
          <m:t>r</m:t>
        </m:r>
      </m:oMath>
      <w:r>
        <w:t xml:space="preserve">, so the worst catastrophic state is</w:t>
      </w:r>
      <w:r>
        <w:t xml:space="preserve"> </w:t>
      </w:r>
      <m:oMath>
        <m:r>
          <m:t>r</m:t>
        </m:r>
        <m:r>
          <m:rPr>
            <m:sty m:val="p"/>
          </m:rPr>
          <m:t>=</m:t>
        </m:r>
        <m:r>
          <m:t>t</m:t>
        </m:r>
        <m:r>
          <m:rPr>
            <m:sty m:val="p"/>
          </m:rPr>
          <m:t>−</m:t>
        </m:r>
        <m:r>
          <m:t>1</m:t>
        </m:r>
      </m:oMath>
      <w:r>
        <w:t xml:space="preserve">. When</w:t>
      </w:r>
      <w:r>
        <w:t xml:space="preserve"> </w:t>
      </w:r>
      <m:oMath>
        <m:r>
          <m:t>q</m:t>
        </m:r>
        <m:r>
          <m:rPr>
            <m:sty m:val="p"/>
          </m:rPr>
          <m:t>=</m:t>
        </m:r>
        <m:r>
          <m:t>s</m:t>
        </m:r>
      </m:oMath>
      <w:r>
        <w:t xml:space="preserve">,</w:t>
      </w:r>
    </w:p>
    <w:p>
      <w:pPr>
        <w:pStyle w:val="BodyText"/>
      </w:pPr>
      <m:oMathPara>
        <m:oMathParaPr>
          <m:jc m:val="center"/>
        </m:oMathParaPr>
        <m:oMath>
          <m:sSub>
            <m:e>
              <m:r>
                <m:t>ε</m:t>
              </m:r>
            </m:e>
            <m:sub>
              <m:r>
                <m:t>a</m:t>
              </m:r>
            </m:sub>
          </m:sSub>
          <m:r>
            <m:rPr>
              <m:sty m:val="p"/>
            </m:rPr>
            <m:t>=</m:t>
          </m:r>
          <m:r>
            <m:rPr>
              <m:sty m:val="p"/>
            </m:rPr>
            <m:t>Pr</m:t>
          </m:r>
          <m:r>
            <m:rPr>
              <m:sty m:val="p"/>
            </m:rPr>
            <m:t>[</m:t>
          </m:r>
          <m:r>
            <m:rPr>
              <m:scr m:val="sans-serif"/>
              <m:sty m:val="p"/>
            </m:rPr>
            <m:t>f</m:t>
          </m:r>
          <m:r>
            <m:rPr>
              <m:scr m:val="sans-serif"/>
              <m:sty m:val="p"/>
            </m:rPr>
            <m:t>a</m:t>
          </m:r>
          <m:r>
            <m:rPr>
              <m:scr m:val="sans-serif"/>
              <m:sty m:val="p"/>
            </m:rPr>
            <m:t>l</m:t>
          </m:r>
          <m:r>
            <m:rPr>
              <m:scr m:val="sans-serif"/>
              <m:sty m:val="p"/>
            </m:rPr>
            <m:t>s</m:t>
          </m:r>
          <m:r>
            <m:rPr>
              <m:scr m:val="sans-serif"/>
              <m:sty m:val="p"/>
            </m:rPr>
            <m:t>e</m:t>
          </m:r>
          <m:r>
            <m:rPr>
              <m:scr m:val="sans-serif"/>
              <m:sty m:val="p"/>
            </m:rPr>
            <m:t> </m:t>
          </m:r>
          <m:r>
            <m:rPr>
              <m:scr m:val="sans-serif"/>
              <m:sty m:val="p"/>
            </m:rPr>
            <m:t>a</m:t>
          </m:r>
          <m:r>
            <m:rPr>
              <m:scr m:val="sans-serif"/>
              <m:sty m:val="p"/>
            </m:rPr>
            <m:t>c</m:t>
          </m:r>
          <m:r>
            <m:rPr>
              <m:scr m:val="sans-serif"/>
              <m:sty m:val="p"/>
            </m:rPr>
            <m:t>c</m:t>
          </m:r>
          <m:r>
            <m:rPr>
              <m:scr m:val="sans-serif"/>
              <m:sty m:val="p"/>
            </m:rPr>
            <m:t>e</m:t>
          </m:r>
          <m:r>
            <m:rPr>
              <m:scr m:val="sans-serif"/>
              <m:sty m:val="p"/>
            </m:rPr>
            <m:t>p</m:t>
          </m:r>
          <m:r>
            <m:rPr>
              <m:scr m:val="sans-serif"/>
              <m:sty m:val="p"/>
            </m:rPr>
            <m:t>t</m:t>
          </m:r>
          <m:r>
            <m:rPr>
              <m:sty m:val="p"/>
            </m:rPr>
            <m:t>]</m:t>
          </m:r>
          <m:r>
            <m:rPr>
              <m:sty m:val="p"/>
            </m:rPr>
            <m:t>≤</m:t>
          </m:r>
          <m:f>
            <m:fPr>
              <m:type m:val="bar"/>
            </m:fPr>
            <m:num>
              <m:d>
                <m:dPr>
                  <m:begChr m:val="("/>
                  <m:sepChr m:val=""/>
                  <m:endChr m:val=")"/>
                  <m:grow/>
                </m:dPr>
                <m:e>
                  <m:f>
                    <m:fPr>
                      <m:type m:val="noBar"/>
                    </m:fPr>
                    <m:num>
                      <m:r>
                        <m:t>t</m:t>
                      </m:r>
                      <m:r>
                        <m:rPr>
                          <m:sty m:val="p"/>
                        </m:rPr>
                        <m:t>−</m:t>
                      </m:r>
                      <m:r>
                        <m:t>1</m:t>
                      </m:r>
                    </m:num>
                    <m:den>
                      <m:r>
                        <m:t>s</m:t>
                      </m:r>
                    </m:den>
                  </m:f>
                </m:e>
              </m:d>
            </m:num>
            <m:den>
              <m:d>
                <m:dPr>
                  <m:begChr m:val="("/>
                  <m:sepChr m:val=""/>
                  <m:endChr m:val=")"/>
                  <m:grow/>
                </m:dPr>
                <m:e>
                  <m:f>
                    <m:fPr>
                      <m:type m:val="noBar"/>
                    </m:fPr>
                    <m:num>
                      <m:r>
                        <m:t>n</m:t>
                      </m:r>
                    </m:num>
                    <m:den>
                      <m:r>
                        <m:t>s</m:t>
                      </m:r>
                    </m:den>
                  </m:f>
                </m:e>
              </m:d>
            </m:den>
          </m:f>
          <m:r>
            <m:rPr>
              <m:sty m:val="p"/>
            </m:rPr>
            <m:t>.</m:t>
          </m:r>
        </m:oMath>
      </m:oMathPara>
    </w:p>
    <w:p>
      <w:pPr>
        <w:pStyle w:val="FirstParagraph"/>
      </w:pPr>
      <w:r>
        <w:t xml:space="preserve">For</w:t>
      </w:r>
      <w:r>
        <w:t xml:space="preserve"> </w:t>
      </w:r>
      <m:oMath>
        <m:r>
          <m:t>n</m:t>
        </m:r>
        <m:r>
          <m:rPr>
            <m:sty m:val="p"/>
          </m:rPr>
          <m:t>=</m:t>
        </m:r>
        <m:r>
          <m:t>32</m:t>
        </m:r>
      </m:oMath>
      <w:r>
        <w:t xml:space="preserve">,</w:t>
      </w:r>
      <w:r>
        <w:t xml:space="preserve"> </w:t>
      </w:r>
      <m:oMath>
        <m:r>
          <m:t>t</m:t>
        </m:r>
        <m:r>
          <m:rPr>
            <m:sty m:val="p"/>
          </m:rPr>
          <m:t>=</m:t>
        </m:r>
        <m:r>
          <m:t>22</m:t>
        </m:r>
      </m:oMath>
      <w:r>
        <w:t xml:space="preserve">, and</w:t>
      </w:r>
      <w:r>
        <w:t xml:space="preserve"> </w:t>
      </w:r>
      <m:oMath>
        <m:r>
          <m:t>s</m:t>
        </m:r>
        <m:r>
          <m:rPr>
            <m:sty m:val="p"/>
          </m:rPr>
          <m:t>=</m:t>
        </m:r>
        <m:r>
          <m:t>q</m:t>
        </m:r>
        <m:r>
          <m:rPr>
            <m:sty m:val="p"/>
          </m:rPr>
          <m:t>=</m:t>
        </m:r>
        <m:r>
          <m:t>8</m:t>
        </m:r>
      </m:oMath>
      <w:r>
        <w:t xml:space="preserve">, Equation (2) gives</w:t>
      </w:r>
      <w:r>
        <w:t xml:space="preserve"> </w:t>
      </w:r>
      <m:oMath>
        <m:sSub>
          <m:e>
            <m:r>
              <m:t>ε</m:t>
            </m:r>
          </m:e>
          <m:sub>
            <m:r>
              <m:t>a</m:t>
            </m:r>
          </m:sub>
        </m:sSub>
        <m:r>
          <m:rPr>
            <m:sty m:val="p"/>
          </m:rPr>
          <m:t>=</m:t>
        </m:r>
        <m:r>
          <m:t>0.0193462822</m:t>
        </m:r>
      </m:oMath>
      <w:r>
        <w:t xml:space="preserve"> </w:t>
      </w:r>
      <w:r>
        <w:t xml:space="preserve">and detection probability</w:t>
      </w:r>
      <w:r>
        <w:t xml:space="preserve"> </w:t>
      </w:r>
      <m:oMath>
        <m:r>
          <m:t>1</m:t>
        </m:r>
        <m:r>
          <m:rPr>
            <m:sty m:val="p"/>
          </m:rPr>
          <m:t>−</m:t>
        </m:r>
        <m:sSub>
          <m:e>
            <m:r>
              <m:t>ε</m:t>
            </m:r>
          </m:e>
          <m:sub>
            <m:r>
              <m:t>a</m:t>
            </m:r>
          </m:sub>
        </m:sSub>
        <m:r>
          <m:rPr>
            <m:sty m:val="p"/>
          </m:rPr>
          <m:t>=</m:t>
        </m:r>
        <m:r>
          <m:t>0.9806537178</m:t>
        </m:r>
      </m:oMath>
      <w:r>
        <w:t xml:space="preserve">. These are exact values for the declared static model, not field-calibrated failure probabilities.</w:t>
      </w:r>
    </w:p>
    <w:p>
      <w:pPr>
        <w:pStyle w:val="BodyText"/>
      </w:pPr>
      <w:r>
        <w:t xml:space="preserve">If the catastrophic ready set remains fixed and every sample is independently unpredictable, false acceptance in all</w:t>
      </w:r>
      <w:r>
        <w:t xml:space="preserve"> </w:t>
      </w:r>
      <m:oMath>
        <m:r>
          <m:t>m</m:t>
        </m:r>
      </m:oMath>
      <w:r>
        <w:t xml:space="preserve"> </w:t>
      </w:r>
      <w:r>
        <w:t xml:space="preserve">audits is at most</w:t>
      </w:r>
      <w:r>
        <w:t xml:space="preserve"> </w:t>
      </w:r>
      <m:oMath>
        <m:sSubSup>
          <m:e>
            <m:r>
              <m:t>ε</m:t>
            </m:r>
          </m:e>
          <m:sub>
            <m:r>
              <m:t>a</m:t>
            </m:r>
          </m:sub>
          <m:sup>
            <m:r>
              <m:t>m</m:t>
            </m:r>
          </m:sup>
        </m:sSubSup>
      </m:oMath>
      <w:r>
        <w:t xml:space="preserve">. This multiplication is invalid for a time-varying or adaptive adversary unless an explicit temporal model justifies it.</w:t>
      </w:r>
    </w:p>
    <w:bookmarkEnd w:id="24"/>
    <w:bookmarkStart w:id="34" w:name="three-non-implication-witnesses"/>
    <w:p>
      <w:pPr>
        <w:pStyle w:val="Heading2"/>
      </w:pPr>
      <w:r>
        <w:t xml:space="preserve">Three non-implication witnesses</w:t>
      </w:r>
    </w:p>
    <w:p>
      <w:pPr>
        <w:pStyle w:val="FirstParagraph"/>
      </w:pPr>
      <w:r>
        <w:t xml:space="preserve">The scientific core is not only the favorable bound. It also contains three constructive limitations:</w:t>
      </w:r>
    </w:p>
    <w:p>
      <w:pPr>
        <w:numPr>
          <w:ilvl w:val="0"/>
          <w:numId w:val="1003"/>
        </w:numPr>
      </w:pPr>
      <m:oMath>
        <m:r>
          <m:rPr>
            <m:sty m:val="p"/>
          </m:rPr>
          <m:t>C</m:t>
        </m:r>
        <m:r>
          <m:rPr>
            <m:sty m:val="p"/>
          </m:rPr>
          <m:t>A</m:t>
        </m:r>
      </m:oMath>
      <w:r>
        <w:t xml:space="preserve"> </w:t>
      </w:r>
      <w:r>
        <w:t xml:space="preserve">does not imply DKA: ciphertext remains available while only</w:t>
      </w:r>
      <w:r>
        <w:t xml:space="preserve"> </w:t>
      </w:r>
      <m:oMath>
        <m:r>
          <m:t>t</m:t>
        </m:r>
        <m:r>
          <m:rPr>
            <m:sty m:val="p"/>
          </m:rPr>
          <m:t>−</m:t>
        </m:r>
        <m:r>
          <m:t>1</m:t>
        </m:r>
      </m:oMath>
      <w:r>
        <w:t xml:space="preserve"> </w:t>
      </w:r>
      <w:r>
        <w:t xml:space="preserve">custodians are dispute-ready.</w:t>
      </w:r>
    </w:p>
    <w:p>
      <w:pPr>
        <w:numPr>
          <w:ilvl w:val="0"/>
          <w:numId w:val="1003"/>
        </w:numPr>
      </w:pPr>
      <m:oMath>
        <m:r>
          <m:rPr>
            <m:sty m:val="p"/>
          </m:rPr>
          <m:t>A</m:t>
        </m:r>
        <m:r>
          <m:rPr>
            <m:sty m:val="p"/>
          </m:rPr>
          <m:t>K</m:t>
        </m:r>
        <m:r>
          <m:rPr>
            <m:sty m:val="p"/>
          </m:rPr>
          <m:t>R</m:t>
        </m:r>
      </m:oMath>
      <w:r>
        <w:t xml:space="preserve"> </w:t>
      </w:r>
      <w:r>
        <w:t xml:space="preserve">does not imply target-dispute success: selective custodians answer the canary but withhold the target response.</w:t>
      </w:r>
    </w:p>
    <w:p>
      <w:pPr>
        <w:numPr>
          <w:ilvl w:val="0"/>
          <w:numId w:val="1003"/>
        </w:numPr>
      </w:pPr>
      <w:r>
        <w:t xml:space="preserve">A finite sequence of accepted audits does not imply unconditional future DKA: enough custodians may become unavailable after the last audit.</w:t>
      </w:r>
    </w:p>
    <w:p>
      <w:pPr>
        <w:pStyle w:val="FirstParagraph"/>
      </w:pPr>
      <w:r>
        <w:t xml:space="preserve">These witnesses define what the audit can and cannot support. They prevent an operational health signal from being presented as a timeless availability proof.</w:t>
      </w:r>
    </w:p>
    <w:bookmarkStart w:id="33" w:name="fig:analysis"/>
    <w:tbl>
      <w:tblPr>
        <w:tblStyle w:val="FigureTable"/>
        <w:tblW w:type="auto" w:w="0"/>
        <w:jc w:val="center"/>
        <w:tblLook w:firstRow="0" w:lastRow="0" w:firstColumn="0" w:lastColumn="0"/>
      </w:tblPr>
      <w:tblGrid>
        <w:gridCol w:w="3960"/>
        <w:gridCol w:w="3960"/>
      </w:tblGrid>
      <w:tr>
        <w:tc>
          <w:tcPr/>
          <w:bookmarkStart w:id="28" w:name="fig:bound"/>
          <w:p>
            <w:pPr>
              <w:pStyle w:val="CaptionedFigure"/>
              <w:jc w:val="center"/>
            </w:pPr>
            <w:r>
              <w:drawing>
                <wp:inline>
                  <wp:extent cx="2667000" cy="1666875"/>
                  <wp:effectExtent b="0" l="0" r="0" t="0"/>
                  <wp:docPr descr="" title="" id="26" name="Picture"/>
                  <a:graphic>
                    <a:graphicData uri="http://schemas.openxmlformats.org/drawingml/2006/picture">
                      <pic:pic>
                        <pic:nvPicPr>
                          <pic:cNvPr descr="../../prototype/results/figures/figure_1_theoretical_detection_bound.png" id="27" name="Picture"/>
                          <pic:cNvPicPr>
                            <a:picLocks noChangeArrowheads="1" noChangeAspect="1"/>
                          </pic:cNvPicPr>
                        </pic:nvPicPr>
                        <pic:blipFill>
                          <a:blip r:embed="rId25"/>
                          <a:stretch>
                            <a:fillRect/>
                          </a:stretch>
                        </pic:blipFill>
                        <pic:spPr bwMode="auto">
                          <a:xfrm>
                            <a:off x="0" y="0"/>
                            <a:ext cx="2667000" cy="1666875"/>
                          </a:xfrm>
                          <a:prstGeom prst="rect">
                            <a:avLst/>
                          </a:prstGeom>
                          <a:noFill/>
                          <a:ln w="9525">
                            <a:noFill/>
                            <a:headEnd/>
                            <a:tailEnd/>
                          </a:ln>
                        </pic:spPr>
                      </pic:pic>
                    </a:graphicData>
                  </a:graphic>
                </wp:inline>
              </w:drawing>
            </w:r>
          </w:p>
          <w:p>
            <w:pPr>
              <w:pStyle w:val="ImageCaption"/>
              <w:jc w:val="center"/>
            </w:pPr>
            <w:r>
              <w:t xml:space="preserve">Exact static detection probability versus sample size for the frozen</w:t>
            </w:r>
            <w:r>
              <w:t xml:space="preserve"> </w:t>
            </w:r>
            <m:oMath>
              <m:r>
                <m:t>n</m:t>
              </m:r>
              <m:r>
                <m:rPr>
                  <m:sty m:val="p"/>
                </m:rPr>
                <m:t>=</m:t>
              </m:r>
              <m:r>
                <m:t>32</m:t>
              </m:r>
            </m:oMath>
            <w:r>
              <w:t xml:space="preserve"> </w:t>
            </w:r>
            <w:r>
              <w:t xml:space="preserve">committee and several thresholds.</w:t>
            </w:r>
          </w:p>
          <w:bookmarkEnd w:id="28"/>
        </w:tc>
        <w:tc>
          <w:tcPr/>
          <w:bookmarkStart w:id="32" w:name="fig:withholding"/>
          <w:p>
            <w:pPr>
              <w:pStyle w:val="CaptionedFigure"/>
              <w:jc w:val="center"/>
            </w:pPr>
            <w:r>
              <w:drawing>
                <wp:inline>
                  <wp:extent cx="2667000" cy="1666875"/>
                  <wp:effectExtent b="0" l="0" r="0" t="0"/>
                  <wp:docPr descr="" title="" id="30" name="Picture"/>
                  <a:graphic>
                    <a:graphicData uri="http://schemas.openxmlformats.org/drawingml/2006/picture">
                      <pic:pic>
                        <pic:nvPicPr>
                          <pic:cNvPr descr="../../prototype/results/figures/figure_4_selective_withholding_gap.png" id="31" name="Picture"/>
                          <pic:cNvPicPr>
                            <a:picLocks noChangeArrowheads="1" noChangeAspect="1"/>
                          </pic:cNvPicPr>
                        </pic:nvPicPr>
                        <pic:blipFill>
                          <a:blip r:embed="rId29"/>
                          <a:stretch>
                            <a:fillRect/>
                          </a:stretch>
                        </pic:blipFill>
                        <pic:spPr bwMode="auto">
                          <a:xfrm>
                            <a:off x="0" y="0"/>
                            <a:ext cx="2667000" cy="1666875"/>
                          </a:xfrm>
                          <a:prstGeom prst="rect">
                            <a:avLst/>
                          </a:prstGeom>
                          <a:noFill/>
                          <a:ln w="9525">
                            <a:noFill/>
                            <a:headEnd/>
                            <a:tailEnd/>
                          </a:ln>
                        </pic:spPr>
                      </pic:pic>
                    </a:graphicData>
                  </a:graphic>
                </wp:inline>
              </w:drawing>
            </w:r>
          </w:p>
          <w:p>
            <w:pPr>
              <w:pStyle w:val="ImageCaption"/>
              <w:jc w:val="center"/>
            </w:pPr>
            <w:r>
              <w:t xml:space="preserve">Internal exploratory sweep: at</w:t>
            </w:r>
            <w:r>
              <w:t xml:space="preserve"> </w:t>
            </w:r>
            <m:oMath>
              <m:r>
                <m:t>w</m:t>
              </m:r>
              <m:r>
                <m:rPr>
                  <m:sty m:val="p"/>
                </m:rPr>
                <m:t>=</m:t>
              </m:r>
              <m:r>
                <m:t>n</m:t>
              </m:r>
              <m:r>
                <m:rPr>
                  <m:sty m:val="p"/>
                </m:rPr>
                <m:t>−</m:t>
              </m:r>
              <m:r>
                <m:t>t</m:t>
              </m:r>
              <m:r>
                <m:rPr>
                  <m:sty m:val="p"/>
                </m:rPr>
                <m:t>+</m:t>
              </m:r>
              <m:r>
                <m:t>1</m:t>
              </m:r>
              <m:r>
                <m:rPr>
                  <m:sty m:val="p"/>
                </m:rPr>
                <m:t>=</m:t>
              </m:r>
              <m:r>
                <m:t>11</m:t>
              </m:r>
            </m:oMath>
            <w:r>
              <w:t xml:space="preserve">, audit acceptance remains one while target reconstruction falls to zero.</w:t>
            </w:r>
          </w:p>
          <w:bookmarkEnd w:id="32"/>
        </w:tc>
      </w:tr>
    </w:tbl>
    <w:p>
      <w:pPr>
        <w:pStyle w:val="ImageCaption"/>
      </w:pPr>
      <w:r>
        <w:t xml:space="preserve">Analytic evidence and limitation-bearing exploratory simulation. Panel (a) is deterministic under the stated static model. Panel (b) is an internal seeded simulation with 4,000 trials per withholder count and is not confirmatory or independently reproduced.</w:t>
      </w:r>
    </w:p>
    <w:bookmarkEnd w:id="33"/>
    <w:bookmarkEnd w:id="34"/>
    <w:bookmarkEnd w:id="35"/>
    <w:bookmarkStart w:id="40" w:name="evaluation-design-and-current-evidence"/>
    <w:p>
      <w:pPr>
        <w:pStyle w:val="Heading1"/>
      </w:pPr>
      <w:r>
        <w:t xml:space="preserve">Evaluation Design and Current Evidence</w:t>
      </w:r>
    </w:p>
    <w:bookmarkStart w:id="36" w:name="evaluation-questions"/>
    <w:p>
      <w:pPr>
        <w:pStyle w:val="Heading2"/>
      </w:pPr>
      <w:r>
        <w:t xml:space="preserve">Evaluation questions</w:t>
      </w:r>
    </w:p>
    <w:p>
      <w:pPr>
        <w:pStyle w:val="FirstParagraph"/>
      </w:pPr>
      <w:r>
        <w:t xml:space="preserve">The complete study asks whether measured false acceptance matches Equation (1); how</w:t>
      </w:r>
      <w:r>
        <w:t xml:space="preserve"> </w:t>
      </w:r>
      <m:oMath>
        <m:r>
          <m:rPr>
            <m:sty m:val="p"/>
          </m:rPr>
          <m:t>(</m:t>
        </m:r>
        <m:r>
          <m:t>n</m:t>
        </m:r>
        <m:r>
          <m:rPr>
            <m:sty m:val="p"/>
          </m:rPr>
          <m:t>,</m:t>
        </m:r>
        <m:r>
          <m:t>t</m:t>
        </m:r>
        <m:r>
          <m:rPr>
            <m:sty m:val="p"/>
          </m:rPr>
          <m:t>,</m:t>
        </m:r>
        <m:r>
          <m:t>s</m:t>
        </m:r>
        <m:r>
          <m:rPr>
            <m:sty m:val="p"/>
          </m:rPr>
          <m:t>,</m:t>
        </m:r>
        <m:r>
          <m:t>q</m:t>
        </m:r>
        <m:r>
          <m:rPr>
            <m:sty m:val="p"/>
          </m:rPr>
          <m:t>)</m:t>
        </m:r>
      </m:oMath>
      <w:r>
        <w:t xml:space="preserve"> </w:t>
      </w:r>
      <w:r>
        <w:t xml:space="preserve">trades audit cost against detection; how correlated outages differ from IID failure; whether domain-stratified sampling changes catastrophic detection; what local cryptographic and ledger costs are incurred; and how strongly selective withholding separates audit success from dispute success. A later distributed experiment must separately measure whether</w:t>
      </w:r>
      <w:r>
        <w:t xml:space="preserve"> </w:t>
      </w:r>
      <m:oMath>
        <m:r>
          <m:t>t</m:t>
        </m:r>
      </m:oMath>
      <w:r>
        <w:t xml:space="preserve"> </w:t>
      </w:r>
      <w:r>
        <w:t xml:space="preserve">verified responses arrive before</w:t>
      </w:r>
      <w:r>
        <w:t xml:space="preserve"> </w:t>
      </w:r>
      <m:oMath>
        <m:sSub>
          <m:e>
            <m:r>
              <m:rPr>
                <m:sty m:val="p"/>
              </m:rPr>
              <m:t>Δ</m:t>
            </m:r>
          </m:e>
          <m:sub>
            <m:r>
              <m:t>d</m:t>
            </m:r>
          </m:sub>
        </m:sSub>
      </m:oMath>
      <w:r>
        <w:t xml:space="preserve"> </w:t>
      </w:r>
      <w:r>
        <w:t xml:space="preserve">under declared latency, loss, and crash profiles.</w:t>
      </w:r>
    </w:p>
    <w:bookmarkEnd w:id="36"/>
    <w:bookmarkStart w:id="38" w:name="evidence-classes"/>
    <w:p>
      <w:pPr>
        <w:pStyle w:val="Heading2"/>
      </w:pPr>
      <w:r>
        <w:t xml:space="preserve">Evidence classes</w:t>
      </w:r>
    </w:p>
    <w:p>
      <w:pPr>
        <w:pStyle w:val="FirstParagraph"/>
      </w:pPr>
      <w:r>
        <w:t xml:space="preserve">Table </w:t>
      </w:r>
      <w:hyperlink w:anchor="tab:evidence">
        <w:r>
          <w:rPr>
            <w:rStyle w:val="Hyperlink"/>
          </w:rPr>
          <w:t xml:space="preserve">1</w:t>
        </w:r>
      </w:hyperlink>
      <w:r>
        <w:t xml:space="preserve"> </w:t>
      </w:r>
      <w:r>
        <w:t xml:space="preserve">separates established observations from planned evidence. The distinction is essential because a clean local implementation does not validate novelty, external reproducibility, deadline performance, or production security.</w:t>
      </w:r>
    </w:p>
    <w:bookmarkStart w:id="37" w:name="tab:evidence"/>
    <w:p>
      <w:pPr>
        <w:pStyle w:val="TableCaption"/>
      </w:pPr>
      <w:r>
        <w:t xml:space="preserve">Current evidence map and claim ceiling.</w:t>
      </w:r>
    </w:p>
    <w:tbl>
      <w:tblPr>
        <w:tblStyle w:val="Table"/>
        <w:tblW w:type="auto" w:w="0"/>
        <w:tblLook w:firstRow="1" w:lastRow="0" w:firstColumn="0" w:lastColumn="0" w:noHBand="0" w:noVBand="0" w:val="0020"/>
        <w:tblCaption w:val="Current evidence map and claim ceiling."/>
      </w:tblPr>
      <w:tblGrid>
        <w:gridCol w:w="1980"/>
        <w:gridCol w:w="1980"/>
        <w:gridCol w:w="1980"/>
        <w:gridCol w:w="1980"/>
      </w:tblGrid>
      <w:tr>
        <w:trPr>
          <w:tblHeader w:val="on"/>
        </w:trPr>
        <w:tc>
          <w:tcPr/>
          <w:p>
            <w:pPr>
              <w:pStyle w:val="Compact"/>
              <w:jc w:val="left"/>
            </w:pPr>
            <w:r>
              <w:t xml:space="preserve">Evidence</w:t>
            </w:r>
          </w:p>
        </w:tc>
        <w:tc>
          <w:tcPr/>
          <w:p>
            <w:pPr>
              <w:pStyle w:val="Compact"/>
              <w:jc w:val="left"/>
            </w:pPr>
            <w:r>
              <w:t xml:space="preserve">Current status</w:t>
            </w:r>
          </w:p>
        </w:tc>
        <w:tc>
          <w:tcPr/>
          <w:p>
            <w:pPr>
              <w:pStyle w:val="Compact"/>
              <w:jc w:val="left"/>
            </w:pPr>
            <w:r>
              <w:t xml:space="preserve">What it can support</w:t>
            </w:r>
          </w:p>
        </w:tc>
        <w:tc>
          <w:tcPr/>
          <w:p>
            <w:pPr>
              <w:pStyle w:val="Compact"/>
              <w:jc w:val="left"/>
            </w:pPr>
            <w:r>
              <w:t xml:space="preserve">What it cannot support</w:t>
            </w:r>
          </w:p>
        </w:tc>
      </w:tr>
      <w:tr>
        <w:tc>
          <w:tcPr/>
          <w:p>
            <w:pPr>
              <w:pStyle w:val="Compact"/>
              <w:jc w:val="left"/>
            </w:pPr>
            <w:r>
              <w:t xml:space="preserve">Static hypergeometric calculation</w:t>
            </w:r>
          </w:p>
        </w:tc>
        <w:tc>
          <w:tcPr/>
          <w:p>
            <w:pPr>
              <w:pStyle w:val="Compact"/>
              <w:jc w:val="left"/>
            </w:pPr>
            <w:r>
              <w:t xml:space="preserve">Deterministic analytic</w:t>
            </w:r>
          </w:p>
        </w:tc>
        <w:tc>
          <w:tcPr/>
          <w:p>
            <w:pPr>
              <w:pStyle w:val="Compact"/>
              <w:jc w:val="left"/>
            </w:pPr>
            <w:r>
              <w:t xml:space="preserve">Model-bounded false-accept and detection values</w:t>
            </w:r>
          </w:p>
        </w:tc>
        <w:tc>
          <w:tcPr/>
          <w:p>
            <w:pPr>
              <w:pStyle w:val="Compact"/>
              <w:jc w:val="left"/>
            </w:pPr>
            <w:r>
              <w:t xml:space="preserve">Temporal, adaptive, or field behavior</w:t>
            </w:r>
          </w:p>
        </w:tc>
      </w:tr>
      <w:tr>
        <w:tc>
          <w:tcPr/>
          <w:p>
            <w:pPr>
              <w:pStyle w:val="Compact"/>
              <w:jc w:val="left"/>
            </w:pPr>
            <w:r>
              <w:t xml:space="preserve">Selective-withholding sweep</w:t>
            </w:r>
          </w:p>
        </w:tc>
        <w:tc>
          <w:tcPr/>
          <w:p>
            <w:pPr>
              <w:pStyle w:val="Compact"/>
              <w:jc w:val="left"/>
            </w:pPr>
            <w:r>
              <w:t xml:space="preserve">Internal seeded simulation</w:t>
            </w:r>
          </w:p>
        </w:tc>
        <w:tc>
          <w:tcPr/>
          <w:p>
            <w:pPr>
              <w:pStyle w:val="Compact"/>
              <w:jc w:val="left"/>
            </w:pPr>
            <w:r>
              <w:t xml:space="preserve">Constructive audit/dispute separation within the simulator</w:t>
            </w:r>
          </w:p>
        </w:tc>
        <w:tc>
          <w:tcPr/>
          <w:p>
            <w:pPr>
              <w:pStyle w:val="Compact"/>
              <w:jc w:val="left"/>
            </w:pPr>
            <w:r>
              <w:t xml:space="preserve">Prevalence, external validity, or resistance</w:t>
            </w:r>
          </w:p>
        </w:tc>
      </w:tr>
      <w:tr>
        <w:tc>
          <w:tcPr/>
          <w:p>
            <w:pPr>
              <w:pStyle w:val="Compact"/>
              <w:jc w:val="left"/>
            </w:pPr>
            <w:r>
              <w:t xml:space="preserve">Threshold-KEM, DLEQ, serialization, and signature tests</w:t>
            </w:r>
          </w:p>
        </w:tc>
        <w:tc>
          <w:tcPr/>
          <w:p>
            <w:pPr>
              <w:pStyle w:val="Compact"/>
              <w:jc w:val="left"/>
            </w:pPr>
            <w:r>
              <w:t xml:space="preserve">Local engineering QA</w:t>
            </w:r>
          </w:p>
        </w:tc>
        <w:tc>
          <w:tcPr/>
          <w:p>
            <w:pPr>
              <w:pStyle w:val="Compact"/>
              <w:jc w:val="left"/>
            </w:pPr>
            <w:r>
              <w:t xml:space="preserve">Internal correctness and interface consistency</w:t>
            </w:r>
          </w:p>
        </w:tc>
        <w:tc>
          <w:tcPr/>
          <w:p>
            <w:pPr>
              <w:pStyle w:val="Compact"/>
              <w:jc w:val="left"/>
            </w:pPr>
            <w:r>
              <w:t xml:space="preserve">Cryptographic audit or production security</w:t>
            </w:r>
          </w:p>
        </w:tc>
      </w:tr>
      <w:tr>
        <w:tc>
          <w:tcPr/>
          <w:p>
            <w:pPr>
              <w:pStyle w:val="Compact"/>
              <w:jc w:val="left"/>
            </w:pPr>
            <w:r>
              <w:t xml:space="preserve">Solidity bulletin-board tests and gas receipts</w:t>
            </w:r>
          </w:p>
        </w:tc>
        <w:tc>
          <w:tcPr/>
          <w:p>
            <w:pPr>
              <w:pStyle w:val="Compact"/>
              <w:jc w:val="left"/>
            </w:pPr>
            <w:r>
              <w:t xml:space="preserve">Local test-body measurements</w:t>
            </w:r>
          </w:p>
        </w:tc>
        <w:tc>
          <w:tcPr/>
          <w:p>
            <w:pPr>
              <w:pStyle w:val="Compact"/>
              <w:jc w:val="left"/>
            </w:pPr>
            <w:r>
              <w:t xml:space="preserve">Contract-boundary behavior in the harness</w:t>
            </w:r>
          </w:p>
        </w:tc>
        <w:tc>
          <w:tcPr/>
          <w:p>
            <w:pPr>
              <w:pStyle w:val="Compact"/>
              <w:jc w:val="left"/>
            </w:pPr>
            <w:r>
              <w:t xml:space="preserve">Deployment cost or operational throughput</w:t>
            </w:r>
          </w:p>
        </w:tc>
      </w:tr>
      <w:tr>
        <w:tc>
          <w:tcPr/>
          <w:p>
            <w:pPr>
              <w:pStyle w:val="Compact"/>
              <w:jc w:val="left"/>
            </w:pPr>
            <w:r>
              <w:t xml:space="preserve">Distributed deadline study</w:t>
            </w:r>
          </w:p>
        </w:tc>
        <w:tc>
          <w:tcPr/>
          <w:p>
            <w:pPr>
              <w:pStyle w:val="Compact"/>
              <w:jc w:val="left"/>
            </w:pPr>
            <w:r>
              <w:t xml:space="preserve">Not executed</w:t>
            </w:r>
          </w:p>
        </w:tc>
        <w:tc>
          <w:tcPr/>
          <w:p>
            <w:pPr>
              <w:pStyle w:val="Compact"/>
              <w:jc w:val="left"/>
            </w:pPr>
            <w:r>
              <w:t xml:space="preserve">Nothing yet</w:t>
            </w:r>
          </w:p>
        </w:tc>
        <w:tc>
          <w:tcPr/>
          <w:p>
            <w:pPr>
              <w:pStyle w:val="Compact"/>
              <w:jc w:val="left"/>
            </w:pPr>
            <w:r>
              <w:t xml:space="preserve">Any deadline-liveness performance claim</w:t>
            </w:r>
          </w:p>
        </w:tc>
      </w:tr>
      <w:tr>
        <w:tc>
          <w:tcPr/>
          <w:p>
            <w:pPr>
              <w:pStyle w:val="Compact"/>
              <w:jc w:val="left"/>
            </w:pPr>
            <w:r>
              <w:t xml:space="preserve">Independent reproduction and external validation</w:t>
            </w:r>
          </w:p>
        </w:tc>
        <w:tc>
          <w:tcPr/>
          <w:p>
            <w:pPr>
              <w:pStyle w:val="Compact"/>
              <w:jc w:val="left"/>
            </w:pPr>
            <w:r>
              <w:t xml:space="preserve">Not completed</w:t>
            </w:r>
          </w:p>
        </w:tc>
        <w:tc>
          <w:tcPr/>
          <w:p>
            <w:pPr>
              <w:pStyle w:val="Compact"/>
              <w:jc w:val="left"/>
            </w:pPr>
            <w:r>
              <w:t xml:space="preserve">Nothing yet</w:t>
            </w:r>
          </w:p>
        </w:tc>
        <w:tc>
          <w:tcPr/>
          <w:p>
            <w:pPr>
              <w:pStyle w:val="Compact"/>
              <w:jc w:val="left"/>
            </w:pPr>
            <w:r>
              <w:t xml:space="preserve">Independent or field maturity</w:t>
            </w:r>
          </w:p>
        </w:tc>
      </w:tr>
    </w:tbl>
    <w:bookmarkEnd w:id="37"/>
    <w:bookmarkEnd w:id="38"/>
    <w:bookmarkStart w:id="39" w:name="preliminary-findings"/>
    <w:p>
      <w:pPr>
        <w:pStyle w:val="Heading2"/>
      </w:pPr>
      <w:r>
        <w:t xml:space="preserve">Preliminary findings</w:t>
      </w:r>
    </w:p>
    <w:p>
      <w:pPr>
        <w:pStyle w:val="FirstParagraph"/>
      </w:pPr>
      <w:r>
        <w:t xml:space="preserve">The exact baseline calculation gives a</w:t>
      </w:r>
      <w:r>
        <w:t xml:space="preserve"> </w:t>
      </w:r>
      <m:oMath>
        <m:r>
          <m:t>1.9346</m:t>
        </m:r>
        <m:r>
          <m:rPr>
            <m:sty m:val="p"/>
          </m:rPr>
          <m:t>%</m:t>
        </m:r>
      </m:oMath>
      <w:r>
        <w:t xml:space="preserve"> </w:t>
      </w:r>
      <w:r>
        <w:t xml:space="preserve">false-accept ceiling in the worst static catastrophic state and a</w:t>
      </w:r>
      <w:r>
        <w:t xml:space="preserve"> </w:t>
      </w:r>
      <m:oMath>
        <m:r>
          <m:t>98.0654</m:t>
        </m:r>
        <m:r>
          <m:rPr>
            <m:sty m:val="p"/>
          </m:rPr>
          <m:t>%</m:t>
        </m:r>
      </m:oMath>
      <w:r>
        <w:t xml:space="preserve"> </w:t>
      </w:r>
      <w:r>
        <w:t xml:space="preserve">detection probability for one audit. Figure </w:t>
      </w:r>
      <w:hyperlink w:anchor="fig:bound">
        <w:r>
          <w:rPr>
            <w:rStyle w:val="Hyperlink"/>
          </w:rPr>
          <w:t xml:space="preserve">2</w:t>
        </w:r>
      </w:hyperlink>
      <w:r>
        <w:t xml:space="preserve"> </w:t>
      </w:r>
      <w:r>
        <w:t xml:space="preserve">shows how detection changes with sample size under the same static assumptions.</w:t>
      </w:r>
    </w:p>
    <w:p>
      <w:pPr>
        <w:pStyle w:val="BodyText"/>
      </w:pPr>
      <w:r>
        <w:t xml:space="preserve">The selective-withholding sweep is a negative result by design. With</w:t>
      </w:r>
      <w:r>
        <w:t xml:space="preserve"> </w:t>
      </w:r>
      <m:oMath>
        <m:r>
          <m:t>n</m:t>
        </m:r>
        <m:r>
          <m:rPr>
            <m:sty m:val="p"/>
          </m:rPr>
          <m:t>=</m:t>
        </m:r>
        <m:r>
          <m:t>32</m:t>
        </m:r>
      </m:oMath>
      <w:r>
        <w:t xml:space="preserve"> </w:t>
      </w:r>
      <w:r>
        <w:t xml:space="preserve">and</w:t>
      </w:r>
      <w:r>
        <w:t xml:space="preserve"> </w:t>
      </w:r>
      <m:oMath>
        <m:r>
          <m:t>t</m:t>
        </m:r>
        <m:r>
          <m:rPr>
            <m:sty m:val="p"/>
          </m:rPr>
          <m:t>=</m:t>
        </m:r>
        <m:r>
          <m:t>22</m:t>
        </m:r>
      </m:oMath>
      <w:r>
        <w:t xml:space="preserve">, the first deterministic reconstruction failure occurs at</w:t>
      </w:r>
      <w:r>
        <w:t xml:space="preserve"> </w:t>
      </w:r>
      <m:oMath>
        <m:r>
          <m:t>w</m:t>
        </m:r>
        <m:r>
          <m:rPr>
            <m:sty m:val="p"/>
          </m:rPr>
          <m:t>=</m:t>
        </m:r>
        <m:r>
          <m:t>n</m:t>
        </m:r>
        <m:r>
          <m:rPr>
            <m:sty m:val="p"/>
          </m:rPr>
          <m:t>−</m:t>
        </m:r>
        <m:r>
          <m:t>t</m:t>
        </m:r>
        <m:r>
          <m:rPr>
            <m:sty m:val="p"/>
          </m:rPr>
          <m:t>+</m:t>
        </m:r>
        <m:r>
          <m:t>1</m:t>
        </m:r>
        <m:r>
          <m:rPr>
            <m:sty m:val="p"/>
          </m:rPr>
          <m:t>=</m:t>
        </m:r>
        <m:r>
          <m:t>11</m:t>
        </m:r>
      </m:oMath>
      <w:r>
        <w:t xml:space="preserve"> </w:t>
      </w:r>
      <w:r>
        <w:t xml:space="preserve">withholding custodians. At that point only twenty-one target responses remain. In the internal 4,000-trial cell, audit pass was</w:t>
      </w:r>
      <w:r>
        <w:t xml:space="preserve"> </w:t>
      </w:r>
      <m:oMath>
        <m:r>
          <m:t>1.0</m:t>
        </m:r>
      </m:oMath>
      <w:r>
        <w:t xml:space="preserve"> </w:t>
      </w:r>
      <w:r>
        <w:t xml:space="preserve">with Wilson interval</w:t>
      </w:r>
      <w:r>
        <w:t xml:space="preserve"> </w:t>
      </w:r>
      <m:oMath>
        <m:r>
          <m:rPr>
            <m:sty m:val="p"/>
          </m:rPr>
          <m:t>[</m:t>
        </m:r>
        <m:r>
          <m:t>0.99904</m:t>
        </m:r>
        <m:r>
          <m:rPr>
            <m:sty m:val="p"/>
          </m:rPr>
          <m:t>,</m:t>
        </m:r>
        <m:r>
          <m:t>1.0</m:t>
        </m:r>
        <m:r>
          <m:rPr>
            <m:sty m:val="p"/>
          </m:rPr>
          <m:t>]</m:t>
        </m:r>
      </m:oMath>
      <w:r>
        <w:t xml:space="preserve">, while reconstruction success was</w:t>
      </w:r>
      <w:r>
        <w:t xml:space="preserve"> </w:t>
      </w:r>
      <m:oMath>
        <m:r>
          <m:t>0.0</m:t>
        </m:r>
      </m:oMath>
      <w:r>
        <w:t xml:space="preserve"> </w:t>
      </w:r>
      <w:r>
        <w:t xml:space="preserve">with interval</w:t>
      </w:r>
      <w:r>
        <w:t xml:space="preserve"> </w:t>
      </w:r>
      <m:oMath>
        <m:r>
          <m:rPr>
            <m:sty m:val="p"/>
          </m:rPr>
          <m:t>[</m:t>
        </m:r>
        <m:r>
          <m:t>0</m:t>
        </m:r>
        <m:r>
          <m:rPr>
            <m:sty m:val="p"/>
          </m:rPr>
          <m:t>,</m:t>
        </m:r>
        <m:r>
          <m:t>0.000959</m:t>
        </m:r>
        <m:r>
          <m:rPr>
            <m:sty m:val="p"/>
          </m:rPr>
          <m:t>]</m:t>
        </m:r>
      </m:oMath>
      <w:r>
        <w:t xml:space="preserve">. The result is a simulator-bounded witness, not an estimate of adversarial prevalence.</w:t>
      </w:r>
    </w:p>
    <w:p>
      <w:pPr>
        <w:pStyle w:val="BodyText"/>
      </w:pPr>
      <w:r>
        <w:t xml:space="preserve">Local test and benchmark artifacts demonstrate that the proposed interfaces are executable, including threshold reconstruction, context-bound proofs, canonical transcript serialization, Ed25519 response binding, and bulletin-board state transitions. Those artifacts remain same-workspace engineering evidence. The distributed deadline family, production DKG/PVSS integration, independently controlled reproduction, and external validation are still absent.</w:t>
      </w:r>
    </w:p>
    <w:bookmarkEnd w:id="39"/>
    <w:bookmarkEnd w:id="40"/>
    <w:bookmarkStart w:id="41" w:name="discussion"/>
    <w:p>
      <w:pPr>
        <w:pStyle w:val="Heading1"/>
      </w:pPr>
      <w:r>
        <w:t xml:space="preserve">Discussion</w:t>
      </w:r>
    </w:p>
    <w:p>
      <w:pPr>
        <w:pStyle w:val="FirstParagraph"/>
      </w:pPr>
      <w:r>
        <w:t xml:space="preserve">The key conceptual result is that availability is layered. Public data availability answers whether encrypted bytes can be retrieved. Valid-share registration answers whether a threshold key was initially formed consistently. A readiness audit answers whether sampled custodians can currently perform a non-production share operation. An authorized dispute asks whether at least</w:t>
      </w:r>
      <w:r>
        <w:t xml:space="preserve"> </w:t>
      </w:r>
      <m:oMath>
        <m:r>
          <m:t>t</m:t>
        </m:r>
      </m:oMath>
      <w:r>
        <w:t xml:space="preserve"> </w:t>
      </w:r>
      <w:r>
        <w:t xml:space="preserve">custodians will serve a specific target before a deadline. Treating these questions as interchangeable hides distinct failure modes.</w:t>
      </w:r>
    </w:p>
    <w:p>
      <w:pPr>
        <w:pStyle w:val="BodyText"/>
      </w:pPr>
      <w:r>
        <w:t xml:space="preserve">KEYSTONE’s canary is useful because it exercises the secret-dependent operation without selecting a production ciphertext. Post-commit beacon sampling reduces advance knowledge of the sampled set; domain-separated context and proofs bind each response to the registered share and request. However, this evidence is necessarily conditional. It is strongest against static crash or invalid-response states and weakest against target-aware cooperation changes.</w:t>
      </w:r>
    </w:p>
    <w:p>
      <w:pPr>
        <w:pStyle w:val="BodyText"/>
      </w:pPr>
      <w:r>
        <w:t xml:space="preserve">Failure-domain metadata creates a second systems question. If every domain contains at most</w:t>
      </w:r>
      <w:r>
        <w:t xml:space="preserve"> </w:t>
      </w:r>
      <m:oMath>
        <m:r>
          <m:t>n</m:t>
        </m:r>
        <m:r>
          <m:rPr>
            <m:sty m:val="p"/>
          </m:rPr>
          <m:t>−</m:t>
        </m:r>
        <m:r>
          <m:t>t</m:t>
        </m:r>
      </m:oMath>
      <w:r>
        <w:t xml:space="preserve"> </w:t>
      </w:r>
      <w:r>
        <w:t xml:space="preserve">custodians, loss of one entire domain leaves at least</w:t>
      </w:r>
      <w:r>
        <w:t xml:space="preserve"> </w:t>
      </w:r>
      <m:oMath>
        <m:r>
          <m:t>t</m:t>
        </m:r>
      </m:oMath>
      <w:r>
        <w:t xml:space="preserve"> </w:t>
      </w:r>
      <w:r>
        <w:t xml:space="preserve">shares. For</w:t>
      </w:r>
      <w:r>
        <w:t xml:space="preserve"> </w:t>
      </w:r>
      <m:oMath>
        <m:r>
          <m:t>n</m:t>
        </m:r>
        <m:r>
          <m:rPr>
            <m:sty m:val="p"/>
          </m:rPr>
          <m:t>=</m:t>
        </m:r>
        <m:r>
          <m:t>32</m:t>
        </m:r>
      </m:oMath>
      <w:r>
        <w:t xml:space="preserve"> </w:t>
      </w:r>
      <w:r>
        <w:t xml:space="preserve">and</w:t>
      </w:r>
      <w:r>
        <w:t xml:space="preserve"> </w:t>
      </w:r>
      <m:oMath>
        <m:r>
          <m:t>t</m:t>
        </m:r>
        <m:r>
          <m:rPr>
            <m:sty m:val="p"/>
          </m:rPr>
          <m:t>=</m:t>
        </m:r>
        <m:r>
          <m:t>22</m:t>
        </m:r>
      </m:oMath>
      <w:r>
        <w:t xml:space="preserve">, a sufficient cap is ten shares per domain; the baseline uses four domains of eight. This rule is only as reliable as the domain labels and independence assumptions. Domain-stratified sampling can improve visibility into concentrated outages but changes the response-count distribution and may also increase benign audit failures.</w:t>
      </w:r>
    </w:p>
    <w:p>
      <w:pPr>
        <w:pStyle w:val="BodyText"/>
      </w:pPr>
      <w:r>
        <w:t xml:space="preserve">Public deadline records support objective statements about what appeared on the bulletin board and when. Invalid proofs and equivocation can produce positive cryptographic evidence. Non-response is different: it proves absence from the canonical transcript, not necessarily malicious intent, unless the network and delivery assumptions justify attribution. The design should therefore separate warning, temporary inactivity, replacement, and hard slashing.</w:t>
      </w:r>
    </w:p>
    <w:bookmarkEnd w:id="41"/>
    <w:bookmarkStart w:id="42" w:name="limitations-and-falsification-conditions"/>
    <w:p>
      <w:pPr>
        <w:pStyle w:val="Heading1"/>
      </w:pPr>
      <w:r>
        <w:t xml:space="preserve">Limitations and Falsification Conditions</w:t>
      </w:r>
    </w:p>
    <w:p>
      <w:pPr>
        <w:pStyle w:val="FirstParagraph"/>
      </w:pPr>
      <w:r>
        <w:t xml:space="preserve">The present work has six material limitations.</w:t>
      </w:r>
    </w:p>
    <w:p>
      <w:pPr>
        <w:numPr>
          <w:ilvl w:val="0"/>
          <w:numId w:val="1004"/>
        </w:numPr>
      </w:pPr>
      <w:r>
        <w:rPr>
          <w:b/>
          <w:bCs/>
        </w:rPr>
        <w:t xml:space="preserve">Novelty remains unresolved.</w:t>
      </w:r>
      <w:r>
        <w:t xml:space="preserve"> </w:t>
      </w:r>
      <w:r>
        <w:t xml:space="preserve">Broad component novelty is defeated by prior work. The narrow composition must still survive authenticated independent review and a submission-time search refresh.</w:t>
      </w:r>
    </w:p>
    <w:p>
      <w:pPr>
        <w:numPr>
          <w:ilvl w:val="0"/>
          <w:numId w:val="1004"/>
        </w:numPr>
      </w:pPr>
      <w:r>
        <w:rPr>
          <w:b/>
          <w:bCs/>
        </w:rPr>
        <w:t xml:space="preserve">The audit does not prove future cooperation.</w:t>
      </w:r>
      <w:r>
        <w:t xml:space="preserve"> </w:t>
      </w:r>
      <w:r>
        <w:t xml:space="preserve">Selective withholding is an explicit counterexample rather than a solved problem.</w:t>
      </w:r>
    </w:p>
    <w:p>
      <w:pPr>
        <w:numPr>
          <w:ilvl w:val="0"/>
          <w:numId w:val="1004"/>
        </w:numPr>
      </w:pPr>
      <w:r>
        <w:rPr>
          <w:b/>
          <w:bCs/>
        </w:rPr>
        <w:t xml:space="preserve">Temporal inference is bounded.</w:t>
      </w:r>
      <w:r>
        <w:t xml:space="preserve"> </w:t>
      </w:r>
      <w:r>
        <w:t xml:space="preserve">Repeated static-audit multiplication does not apply to evolving readiness without a justified temporal model.</w:t>
      </w:r>
    </w:p>
    <w:p>
      <w:pPr>
        <w:numPr>
          <w:ilvl w:val="0"/>
          <w:numId w:val="1004"/>
        </w:numPr>
      </w:pPr>
      <w:r>
        <w:rPr>
          <w:b/>
          <w:bCs/>
        </w:rPr>
        <w:t xml:space="preserve">Deadline performance is unmeasured.</w:t>
      </w:r>
      <w:r>
        <w:t xml:space="preserve"> </w:t>
      </w:r>
      <w:r>
        <w:t xml:space="preserve">No authorized distributed experiment currently establishes end-to-end success before</w:t>
      </w:r>
      <w:r>
        <w:t xml:space="preserve"> </w:t>
      </w:r>
      <m:oMath>
        <m:sSub>
          <m:e>
            <m:r>
              <m:rPr>
                <m:sty m:val="p"/>
              </m:rPr>
              <m:t>Δ</m:t>
            </m:r>
          </m:e>
          <m:sub>
            <m:r>
              <m:t>d</m:t>
            </m:r>
          </m:sub>
        </m:sSub>
      </m:oMath>
      <w:r>
        <w:t xml:space="preserve">.</w:t>
      </w:r>
    </w:p>
    <w:p>
      <w:pPr>
        <w:numPr>
          <w:ilvl w:val="0"/>
          <w:numId w:val="1004"/>
        </w:numPr>
      </w:pPr>
      <w:r>
        <w:rPr>
          <w:b/>
          <w:bCs/>
        </w:rPr>
        <w:t xml:space="preserve">The prototype is non-production.</w:t>
      </w:r>
      <w:r>
        <w:t xml:space="preserve"> </w:t>
      </w:r>
      <w:r>
        <w:t xml:space="preserve">It substitutes a dealer for production DKG/PVSS and has not received an external cryptographic or smart-contract audit.</w:t>
      </w:r>
    </w:p>
    <w:p>
      <w:pPr>
        <w:numPr>
          <w:ilvl w:val="0"/>
          <w:numId w:val="1004"/>
        </w:numPr>
      </w:pPr>
      <w:r>
        <w:rPr>
          <w:b/>
          <w:bCs/>
        </w:rPr>
        <w:t xml:space="preserve">External validity is absent.</w:t>
      </w:r>
      <w:r>
        <w:t xml:space="preserve"> </w:t>
      </w:r>
      <w:r>
        <w:t xml:space="preserve">Current simulations use synthetic failure models and local execution; they do not establish provider behavior, deployment reliability, cost, or societal impact.</w:t>
      </w:r>
    </w:p>
    <w:p>
      <w:pPr>
        <w:pStyle w:val="FirstParagraph"/>
      </w:pPr>
      <w:r>
        <w:t xml:space="preserve">The narrow research hypothesis should be rejected or reframed if a stronger predecessor already makes the same dispute-specific property and readiness probe explicit; if the canary measures no operational quantity beyond generic heartbeat or share registration; if correlated-failure analysis changes no relevant system decision; or if the authorized confirmatory study fails to reproduce the claimed property separation under its frozen conditions.</w:t>
      </w:r>
    </w:p>
    <w:bookmarkEnd w:id="42"/>
    <w:bookmarkStart w:id="43" w:name="conclusion"/>
    <w:p>
      <w:pPr>
        <w:pStyle w:val="Heading1"/>
      </w:pPr>
      <w:r>
        <w:t xml:space="preserve">Conclusion</w:t>
      </w:r>
    </w:p>
    <w:p>
      <w:pPr>
        <w:pStyle w:val="FirstParagraph"/>
      </w:pPr>
      <w:r>
        <w:t xml:space="preserve">KEYSTONE isolates a failure mode that ciphertext data availability alone does not address: the threshold service required for an authorized encrypted-rollup dispute may be unavailable or uncooperative at the deadline. The proposed framework decomposes the relevant properties, instantiates a non-production canary audit using established cryptographic components, and derives an explicit static catastrophic false-accept bound. Its strongest current evidence includes the exact baseline calculation and a limitation-bearing selective-withholding witness. The defensible claim is therefore conditional and systems-oriented: KEYSTONE measures present sampled serviceability under declared assumptions; it does not prove future availability or introduce a new threshold-decryption primitive. Independent novelty review, authorized confirmatory execution, distributed deadline evaluation, and external reproduction remain necessary before a publication-readiness judgment.</w:t>
      </w:r>
    </w:p>
    <w:bookmarkEnd w:id="43"/>
    <w:bookmarkStart w:id="44" w:name="declarations"/>
    <w:p>
      <w:pPr>
        <w:pStyle w:val="Heading1"/>
      </w:pPr>
      <w:r>
        <w:t xml:space="preserve">Declarations</w:t>
      </w:r>
    </w:p>
    <w:p>
      <w:pPr>
        <w:pStyle w:val="FirstParagraph"/>
      </w:pPr>
      <w:r>
        <w:rPr>
          <w:b/>
          <w:bCs/>
        </w:rPr>
        <w:t xml:space="preserve">Study type and ethics.</w:t>
      </w:r>
      <w:r>
        <w:t xml:space="preserve"> </w:t>
      </w:r>
      <w:r>
        <w:t xml:space="preserve">This study is limited to non-human computational research using synthetic data, simulation, locally generated prototype outputs, and smart-contract evaluation. It does not use personal data, participant recruitment, regulated intervention, production secrets, or live exploitation.</w:t>
      </w:r>
    </w:p>
    <w:p>
      <w:pPr>
        <w:pStyle w:val="BodyText"/>
      </w:pPr>
      <w:r>
        <w:rPr>
          <w:b/>
          <w:bCs/>
        </w:rPr>
        <w:t xml:space="preserve">Data and code availability.</w:t>
      </w:r>
      <w:r>
        <w:t xml:space="preserve"> </w:t>
      </w:r>
      <w:r>
        <w:t xml:space="preserve">The current research workspace contains source code, frozen configuration, synthetic outputs, editable tables, figures, diagrams, and local verification artifacts. Public-release location and license-specific availability statement remain to be determined by the accountable author before submission.</w:t>
      </w:r>
    </w:p>
    <w:p>
      <w:pPr>
        <w:pStyle w:val="BodyText"/>
      </w:pPr>
      <w:r>
        <w:rPr>
          <w:b/>
          <w:bCs/>
        </w:rPr>
        <w:t xml:space="preserve">Funding and conflicts of interest.</w:t>
      </w:r>
      <w:r>
        <w:t xml:space="preserve"> </w:t>
      </w:r>
      <w:r>
        <w:t xml:space="preserve">Not yet declared by the accountable author. No statement should be inferred from omission in this review draft.</w:t>
      </w:r>
    </w:p>
    <w:p>
      <w:pPr>
        <w:pStyle w:val="BodyText"/>
      </w:pPr>
      <w:r>
        <w:rPr>
          <w:b/>
          <w:bCs/>
        </w:rPr>
        <w:t xml:space="preserve">AI-assisted preparation.</w:t>
      </w:r>
      <w:r>
        <w:t xml:space="preserve"> </w:t>
      </w:r>
      <w:r>
        <w:t xml:space="preserve">AI-assisted drafting and local artifact integration were used. The named human author remains responsible for scientific verification, authorship, disclosure compliance, and any submission decision.</w:t>
      </w:r>
    </w:p>
    <w:bookmarkEnd w:id="44"/>
    <w:bookmarkStart w:id="45" w:name="questions-for-the-external-phd-reviewer"/>
    <w:p>
      <w:pPr>
        <w:pStyle w:val="Heading1"/>
      </w:pPr>
      <w:r>
        <w:t xml:space="preserve">Questions for the External PhD Reviewer</w:t>
      </w:r>
    </w:p>
    <w:p>
      <w:pPr>
        <w:pStyle w:val="FirstParagraph"/>
      </w:pPr>
      <w:r>
        <w:t xml:space="preserve">The reviewer is requested to provide evidence-backed comments on the following scientific questions:</w:t>
      </w:r>
    </w:p>
    <w:p>
      <w:pPr>
        <w:numPr>
          <w:ilvl w:val="0"/>
          <w:numId w:val="1005"/>
        </w:numPr>
      </w:pPr>
      <w:r>
        <w:t xml:space="preserve">Is DKA defined as a distinct and useful estimand, rather than a renaming of threshold-decryption liveness or generic service availability?</w:t>
      </w:r>
    </w:p>
    <w:p>
      <w:pPr>
        <w:numPr>
          <w:ilvl w:val="0"/>
          <w:numId w:val="1005"/>
        </w:numPr>
      </w:pPr>
      <w:r>
        <w:t xml:space="preserve">Does the strongest known predecessor already combine a pre-authorization non-production partial-decryption drill with equivalent dispute-serviceability analysis?</w:t>
      </w:r>
    </w:p>
    <w:p>
      <w:pPr>
        <w:numPr>
          <w:ilvl w:val="0"/>
          <w:numId w:val="1005"/>
        </w:numPr>
      </w:pPr>
      <w:r>
        <w:t xml:space="preserve">Are the three non-implication witnesses logically sound and sufficient to justify the property separation?</w:t>
      </w:r>
    </w:p>
    <w:p>
      <w:pPr>
        <w:numPr>
          <w:ilvl w:val="0"/>
          <w:numId w:val="1005"/>
        </w:numPr>
      </w:pPr>
      <w:r>
        <w:t xml:space="preserve">Are Equations (1) and (2), their monotonicity claim, and the repeated-audit qualification correct under the stated assumptions?</w:t>
      </w:r>
    </w:p>
    <w:p>
      <w:pPr>
        <w:numPr>
          <w:ilvl w:val="0"/>
          <w:numId w:val="1005"/>
        </w:numPr>
      </w:pPr>
      <w:r>
        <w:t xml:space="preserve">Does the canary transcript actually demonstrate current use of the registered share without creating a production-decryption or challenge-substitution path?</w:t>
      </w:r>
    </w:p>
    <w:p>
      <w:pPr>
        <w:numPr>
          <w:ilvl w:val="0"/>
          <w:numId w:val="1005"/>
        </w:numPr>
      </w:pPr>
      <w:r>
        <w:t xml:space="preserve">Are the synchrony, beacon, domain-label, authorization, and compromise assumptions explicit enough to prevent overclaiming?</w:t>
      </w:r>
    </w:p>
    <w:p>
      <w:pPr>
        <w:numPr>
          <w:ilvl w:val="0"/>
          <w:numId w:val="1005"/>
        </w:numPr>
      </w:pPr>
      <w:r>
        <w:t xml:space="preserve">Does the selective-withholding result correctly falsify any unconditional audit-to-dispute inference?</w:t>
      </w:r>
    </w:p>
    <w:p>
      <w:pPr>
        <w:numPr>
          <w:ilvl w:val="0"/>
          <w:numId w:val="1005"/>
        </w:numPr>
      </w:pPr>
      <w:r>
        <w:t xml:space="preserve">What is the smallest decisive confirmatory experiment needed for a defensible short paper?</w:t>
      </w:r>
    </w:p>
    <w:p>
      <w:pPr>
        <w:numPr>
          <w:ilvl w:val="0"/>
          <w:numId w:val="1005"/>
        </w:numPr>
      </w:pPr>
      <w:r>
        <w:t xml:space="preserve">Should the narrow contribution be retained, further reframed, or stopped based on the reviewer’s strongest contrary evidence?</w:t>
      </w:r>
    </w:p>
    <w:bookmarkEnd w:id="45"/>
    <w:bookmarkStart w:id="78" w:name="bibliography"/>
    <w:p>
      <w:pPr>
        <w:pStyle w:val="Heading1"/>
      </w:pPr>
      <w:r>
        <w:t xml:space="preserve">References</w:t>
      </w:r>
    </w:p>
    <w:bookmarkStart w:id="77" w:name="refs"/>
    <w:bookmarkStart w:id="47" w:name="ref-eip7594"/>
    <w:p>
      <w:pPr>
        <w:pStyle w:val="Bibliography"/>
      </w:pPr>
      <w:r>
        <w:t xml:space="preserve">[1]</w:t>
      </w:r>
      <w:r>
        <w:t xml:space="preserve"> </w:t>
      </w:r>
      <w:r>
        <w:t xml:space="preserve">	</w:t>
      </w:r>
      <w:r>
        <w:t xml:space="preserve">D. Ryan, D. Feist, F. D’Amato, H.-W. Wang, and A. Stokes.</w:t>
      </w:r>
      <w:r>
        <w:t xml:space="preserve"> </w:t>
      </w:r>
      <w:r>
        <w:t xml:space="preserve">EIP-7594: PeerDAS – Peer Data Availability Sampling</w:t>
      </w:r>
      <w:r>
        <w:t xml:space="preserve">. Ethereum Improvement Proposal. 2024.</w:t>
      </w:r>
      <w:r>
        <w:t xml:space="preserve"> </w:t>
      </w:r>
      <w:hyperlink r:id="rId46">
        <w:r>
          <w:rPr>
            <w:rStyle w:val="Hyperlink"/>
          </w:rPr>
          <w:t xml:space="preserve">https://eips.ethereum.org/EIPS/eip-7594</w:t>
        </w:r>
      </w:hyperlink>
    </w:p>
    <w:bookmarkEnd w:id="47"/>
    <w:bookmarkStart w:id="49" w:name="ref-boneh2006threshold"/>
    <w:p>
      <w:pPr>
        <w:pStyle w:val="Bibliography"/>
      </w:pPr>
      <w:r>
        <w:t xml:space="preserve">[2]</w:t>
      </w:r>
      <w:r>
        <w:t xml:space="preserve"> </w:t>
      </w:r>
      <w:r>
        <w:t xml:space="preserve">	</w:t>
      </w:r>
      <w:r>
        <w:t xml:space="preserve">D. Boneh, X. Boyen, and S. Halevi. Chosen ciphertext secure public key threshold encryption without random oracles.</w:t>
      </w:r>
      <w:r>
        <w:t xml:space="preserve"> </w:t>
      </w:r>
      <w:r>
        <w:rPr>
          <w:i/>
          <w:iCs/>
        </w:rPr>
        <w:t xml:space="preserve">Topics in cryptology —</w:t>
      </w:r>
      <w:r>
        <w:rPr>
          <w:i/>
          <w:iCs/>
        </w:rPr>
        <w:t xml:space="preserve"> </w:t>
      </w:r>
      <w:r>
        <w:rPr>
          <w:i/>
          <w:iCs/>
        </w:rPr>
        <w:t xml:space="preserve">CT-RSA</w:t>
      </w:r>
      <w:r>
        <w:rPr>
          <w:i/>
          <w:iCs/>
        </w:rPr>
        <w:t xml:space="preserve"> </w:t>
      </w:r>
      <w:r>
        <w:rPr>
          <w:i/>
          <w:iCs/>
        </w:rPr>
        <w:t xml:space="preserve">2006</w:t>
      </w:r>
      <w:r>
        <w:t xml:space="preserve">. 2006, 226–243. doi:</w:t>
      </w:r>
      <w:r>
        <w:t xml:space="preserve"> </w:t>
      </w:r>
      <w:hyperlink r:id="rId48">
        <w:r>
          <w:rPr>
            <w:rStyle w:val="Hyperlink"/>
          </w:rPr>
          <w:t xml:space="preserve">10.1007/11605805_15</w:t>
        </w:r>
      </w:hyperlink>
    </w:p>
    <w:bookmarkEnd w:id="49"/>
    <w:bookmarkStart w:id="51" w:name="ref-schoenmakers1999pvss"/>
    <w:p>
      <w:pPr>
        <w:pStyle w:val="Bibliography"/>
      </w:pPr>
      <w:r>
        <w:t xml:space="preserve">[3]</w:t>
      </w:r>
      <w:r>
        <w:t xml:space="preserve"> </w:t>
      </w:r>
      <w:r>
        <w:t xml:space="preserve">	</w:t>
      </w:r>
      <w:r>
        <w:t xml:space="preserve">B. Schoenmakers. A simple publicly verifiable secret sharing scheme and its application to electronic voting.</w:t>
      </w:r>
      <w:r>
        <w:t xml:space="preserve"> </w:t>
      </w:r>
      <w:r>
        <w:rPr>
          <w:i/>
          <w:iCs/>
        </w:rPr>
        <w:t xml:space="preserve">CRYPTO</w:t>
      </w:r>
      <w:r>
        <w:t xml:space="preserve">. 1999, 148–164. doi:</w:t>
      </w:r>
      <w:r>
        <w:t xml:space="preserve"> </w:t>
      </w:r>
      <w:hyperlink r:id="rId50">
        <w:r>
          <w:rPr>
            <w:rStyle w:val="Hyperlink"/>
          </w:rPr>
          <w:t xml:space="preserve">10.1007/3-540-48405-1_10</w:t>
        </w:r>
      </w:hyperlink>
    </w:p>
    <w:bookmarkEnd w:id="51"/>
    <w:bookmarkStart w:id="52" w:name="ref-herzberg1995proactive"/>
    <w:p>
      <w:pPr>
        <w:pStyle w:val="Bibliography"/>
      </w:pPr>
      <w:r>
        <w:t xml:space="preserve">[4]</w:t>
      </w:r>
      <w:r>
        <w:t xml:space="preserve"> </w:t>
      </w:r>
      <w:r>
        <w:t xml:space="preserve">	</w:t>
      </w:r>
      <w:r>
        <w:t xml:space="preserve">A. Herzberg, S. Jarecki, H. Krawczyk, and M. Yung. Proactive secret sharing or: How to cope with perpetual leakage.</w:t>
      </w:r>
      <w:r>
        <w:t xml:space="preserve"> </w:t>
      </w:r>
      <w:r>
        <w:rPr>
          <w:i/>
          <w:iCs/>
        </w:rPr>
        <w:t xml:space="preserve">CRYPTO</w:t>
      </w:r>
      <w:r>
        <w:t xml:space="preserve">. 1995, 339–352</w:t>
      </w:r>
    </w:p>
    <w:bookmarkEnd w:id="52"/>
    <w:bookmarkStart w:id="54" w:name="ref-yurek2023dpss"/>
    <w:p>
      <w:pPr>
        <w:pStyle w:val="Bibliography"/>
      </w:pPr>
      <w:r>
        <w:t xml:space="preserve">[5]</w:t>
      </w:r>
      <w:r>
        <w:t xml:space="preserve"> </w:t>
      </w:r>
      <w:r>
        <w:t xml:space="preserve">	</w:t>
      </w:r>
      <w:r>
        <w:t xml:space="preserve">T. Yurek, Z. Xiang, Y. Xia, and A. Miller. Long live the honey badger: Robust asynchronous</w:t>
      </w:r>
      <w:r>
        <w:t xml:space="preserve"> </w:t>
      </w:r>
      <w:r>
        <w:t xml:space="preserve">DPSS</w:t>
      </w:r>
      <w:r>
        <w:t xml:space="preserve"> </w:t>
      </w:r>
      <w:r>
        <w:t xml:space="preserve">and its applications.</w:t>
      </w:r>
      <w:r>
        <w:t xml:space="preserve"> </w:t>
      </w:r>
      <w:r>
        <w:rPr>
          <w:i/>
          <w:iCs/>
        </w:rPr>
        <w:t xml:space="preserve">32nd USENIX security symposium (USENIX security 23)</w:t>
      </w:r>
      <w:r>
        <w:t xml:space="preserve">. 2023, 5413–5430.</w:t>
      </w:r>
      <w:r>
        <w:t xml:space="preserve"> </w:t>
      </w:r>
      <w:hyperlink r:id="rId53">
        <w:r>
          <w:rPr>
            <w:rStyle w:val="Hyperlink"/>
          </w:rPr>
          <w:t xml:space="preserve">https://www.usenix.org/conference/usenixsecurity23/presentation/yurek</w:t>
        </w:r>
      </w:hyperlink>
    </w:p>
    <w:bookmarkEnd w:id="54"/>
    <w:bookmarkStart w:id="56" w:name="ref-stengele2021ethtid"/>
    <w:p>
      <w:pPr>
        <w:pStyle w:val="Bibliography"/>
      </w:pPr>
      <w:r>
        <w:t xml:space="preserve">[6]</w:t>
      </w:r>
      <w:r>
        <w:t xml:space="preserve"> </w:t>
      </w:r>
      <w:r>
        <w:t xml:space="preserve">	</w:t>
      </w:r>
      <w:r>
        <w:t xml:space="preserve">O. Stengele, M. Raiber, J. Müller-Quade, and H. Hartenstein.</w:t>
      </w:r>
      <w:r>
        <w:t xml:space="preserve"> </w:t>
      </w:r>
      <w:r>
        <w:t xml:space="preserve">ETHTID</w:t>
      </w:r>
      <w:r>
        <w:t xml:space="preserve">: Deployable threshold information disclosure on</w:t>
      </w:r>
      <w:r>
        <w:t xml:space="preserve"> </w:t>
      </w:r>
      <w:r>
        <w:t xml:space="preserve">Ethereum</w:t>
      </w:r>
      <w:r>
        <w:t xml:space="preserve">.</w:t>
      </w:r>
      <w:r>
        <w:t xml:space="preserve"> </w:t>
      </w:r>
      <w:r>
        <w:rPr>
          <w:i/>
          <w:iCs/>
        </w:rPr>
        <w:t xml:space="preserve">2021 3rd international conference on blockchain computing and applications (</w:t>
      </w:r>
      <w:r>
        <w:rPr>
          <w:i/>
          <w:iCs/>
        </w:rPr>
        <w:t xml:space="preserve">BCCA</w:t>
      </w:r>
      <w:r>
        <w:rPr>
          <w:i/>
          <w:iCs/>
        </w:rPr>
        <w:t xml:space="preserve">)</w:t>
      </w:r>
      <w:r>
        <w:t xml:space="preserve">. 2021, 127–134. doi:</w:t>
      </w:r>
      <w:r>
        <w:t xml:space="preserve"> </w:t>
      </w:r>
      <w:hyperlink r:id="rId55">
        <w:r>
          <w:rPr>
            <w:rStyle w:val="Hyperlink"/>
          </w:rPr>
          <w:t xml:space="preserve">10.1109/BCCA53669.2021.9657019</w:t>
        </w:r>
      </w:hyperlink>
    </w:p>
    <w:bookmarkEnd w:id="56"/>
    <w:bookmarkStart w:id="58" w:name="ref-bebel2022ferveo"/>
    <w:p>
      <w:pPr>
        <w:pStyle w:val="Bibliography"/>
      </w:pPr>
      <w:r>
        <w:t xml:space="preserve">[7]</w:t>
      </w:r>
      <w:r>
        <w:t xml:space="preserve"> </w:t>
      </w:r>
      <w:r>
        <w:t xml:space="preserve">	</w:t>
      </w:r>
      <w:r>
        <w:t xml:space="preserve">J. Bebel, and D. Ojha. Ferveo: Threshold decryption for mempool privacy in</w:t>
      </w:r>
      <w:r>
        <w:t xml:space="preserve"> </w:t>
      </w:r>
      <w:r>
        <w:t xml:space="preserve">BFT</w:t>
      </w:r>
      <w:r>
        <w:t xml:space="preserve"> </w:t>
      </w:r>
      <w:r>
        <w:t xml:space="preserve">networks. Cryptology</w:t>
      </w:r>
      <w:r>
        <w:t xml:space="preserve"> </w:t>
      </w:r>
      <w:r>
        <w:t xml:space="preserve">ePrint</w:t>
      </w:r>
      <w:r>
        <w:t xml:space="preserve"> </w:t>
      </w:r>
      <w:r>
        <w:t xml:space="preserve">Archive, Paper 2022/898. 2022.</w:t>
      </w:r>
      <w:r>
        <w:t xml:space="preserve"> </w:t>
      </w:r>
      <w:hyperlink r:id="rId57">
        <w:r>
          <w:rPr>
            <w:rStyle w:val="Hyperlink"/>
          </w:rPr>
          <w:t xml:space="preserve">https://eprint.iacr.org/2022/898</w:t>
        </w:r>
      </w:hyperlink>
    </w:p>
    <w:bookmarkEnd w:id="58"/>
    <w:bookmarkStart w:id="60" w:name="ref-bormet2025epochless"/>
    <w:p>
      <w:pPr>
        <w:pStyle w:val="Bibliography"/>
      </w:pPr>
      <w:r>
        <w:t xml:space="preserve">[8]</w:t>
      </w:r>
      <w:r>
        <w:t xml:space="preserve"> </w:t>
      </w:r>
      <w:r>
        <w:t xml:space="preserve">	</w:t>
      </w:r>
      <w:r>
        <w:t xml:space="preserve">J. Bormet, S. Faust, H. Othman, and Z. Qu.</w:t>
      </w:r>
      <w:r>
        <w:t xml:space="preserve"> </w:t>
      </w:r>
      <w:r>
        <w:t xml:space="preserve">BEAT-MEV</w:t>
      </w:r>
      <w:r>
        <w:t xml:space="preserve">: Epochless approach to batched threshold encryption for</w:t>
      </w:r>
      <w:r>
        <w:t xml:space="preserve"> </w:t>
      </w:r>
      <w:r>
        <w:t xml:space="preserve">MEV</w:t>
      </w:r>
      <w:r>
        <w:t xml:space="preserve"> </w:t>
      </w:r>
      <w:r>
        <w:t xml:space="preserve">prevention.</w:t>
      </w:r>
      <w:r>
        <w:t xml:space="preserve"> </w:t>
      </w:r>
      <w:r>
        <w:rPr>
          <w:i/>
          <w:iCs/>
        </w:rPr>
        <w:t xml:space="preserve">34th USENIX security symposium (USENIX security 25)</w:t>
      </w:r>
      <w:r>
        <w:t xml:space="preserve">. 2025.</w:t>
      </w:r>
      <w:r>
        <w:t xml:space="preserve"> </w:t>
      </w:r>
      <w:hyperlink r:id="rId59">
        <w:r>
          <w:rPr>
            <w:rStyle w:val="Hyperlink"/>
          </w:rPr>
          <w:t xml:space="preserve">https://www.usenix.org/conference/usenixsecurity25/presentation/bormet</w:t>
        </w:r>
      </w:hyperlink>
    </w:p>
    <w:bookmarkEnd w:id="60"/>
    <w:bookmarkStart w:id="62" w:name="ref-cerulli2023vetkeys"/>
    <w:p>
      <w:pPr>
        <w:pStyle w:val="Bibliography"/>
      </w:pPr>
      <w:r>
        <w:t xml:space="preserve">[9]</w:t>
      </w:r>
      <w:r>
        <w:t xml:space="preserve"> </w:t>
      </w:r>
      <w:r>
        <w:t xml:space="preserve">	</w:t>
      </w:r>
      <w:r>
        <w:t xml:space="preserve">A. Cerulli, A. Connolly, G. Neven, F.-S. Preiss, and V. Shoup.</w:t>
      </w:r>
      <w:r>
        <w:t xml:space="preserve"> </w:t>
      </w:r>
      <w:r>
        <w:t xml:space="preserve">vetKeys</w:t>
      </w:r>
      <w:r>
        <w:t xml:space="preserve">: How a blockchain can keep many secrets. Cryptology</w:t>
      </w:r>
      <w:r>
        <w:t xml:space="preserve"> </w:t>
      </w:r>
      <w:r>
        <w:t xml:space="preserve">ePrint</w:t>
      </w:r>
      <w:r>
        <w:t xml:space="preserve"> </w:t>
      </w:r>
      <w:r>
        <w:t xml:space="preserve">Archive, Paper 2023/616. 2023.</w:t>
      </w:r>
      <w:r>
        <w:t xml:space="preserve"> </w:t>
      </w:r>
      <w:hyperlink r:id="rId61">
        <w:r>
          <w:rPr>
            <w:rStyle w:val="Hyperlink"/>
          </w:rPr>
          <w:t xml:space="preserve">https://eprint.iacr.org/2023/616</w:t>
        </w:r>
      </w:hyperlink>
    </w:p>
    <w:bookmarkEnd w:id="62"/>
    <w:bookmarkStart w:id="64" w:name="ref-agarwal2025ttles"/>
    <w:p>
      <w:pPr>
        <w:pStyle w:val="Bibliography"/>
      </w:pPr>
      <w:r>
        <w:t xml:space="preserve">[10]</w:t>
      </w:r>
      <w:r>
        <w:t xml:space="preserve"> </w:t>
      </w:r>
      <w:r>
        <w:t xml:space="preserve">	</w:t>
      </w:r>
      <w:r>
        <w:t xml:space="preserve">A. Agarwal, K. Babel, S. Das, and B. Poorebrahim Gilkalaye. Time-lock encrypted storage for blockchains. Cryptology</w:t>
      </w:r>
      <w:r>
        <w:t xml:space="preserve"> </w:t>
      </w:r>
      <w:r>
        <w:t xml:space="preserve">ePrint</w:t>
      </w:r>
      <w:r>
        <w:t xml:space="preserve"> </w:t>
      </w:r>
      <w:r>
        <w:t xml:space="preserve">Archive, Paper 2025/2048. 2025.</w:t>
      </w:r>
      <w:r>
        <w:t xml:space="preserve"> </w:t>
      </w:r>
      <w:hyperlink r:id="rId63">
        <w:r>
          <w:rPr>
            <w:rStyle w:val="Hyperlink"/>
          </w:rPr>
          <w:t xml:space="preserve">https://eprint.iacr.org/2025/2048</w:t>
        </w:r>
      </w:hyperlink>
    </w:p>
    <w:bookmarkEnd w:id="64"/>
    <w:bookmarkStart w:id="66" w:name="ref-boneh2025context"/>
    <w:p>
      <w:pPr>
        <w:pStyle w:val="Bibliography"/>
      </w:pPr>
      <w:r>
        <w:t xml:space="preserve">[11]</w:t>
      </w:r>
      <w:r>
        <w:t xml:space="preserve"> </w:t>
      </w:r>
      <w:r>
        <w:t xml:space="preserve">	</w:t>
      </w:r>
      <w:r>
        <w:t xml:space="preserve">D. Boneh, B. Bünz, K. Nayak, L. Rotem, and V. Shoup. Context-dependent threshold decryption and its applications. Cryptology</w:t>
      </w:r>
      <w:r>
        <w:t xml:space="preserve"> </w:t>
      </w:r>
      <w:r>
        <w:t xml:space="preserve">ePrint</w:t>
      </w:r>
      <w:r>
        <w:t xml:space="preserve"> </w:t>
      </w:r>
      <w:r>
        <w:t xml:space="preserve">Archive, Paper 2025/279; extended abstract in ASIACRYPT 2025. 2025.</w:t>
      </w:r>
      <w:r>
        <w:t xml:space="preserve"> </w:t>
      </w:r>
      <w:hyperlink r:id="rId65">
        <w:r>
          <w:rPr>
            <w:rStyle w:val="Hyperlink"/>
          </w:rPr>
          <w:t xml:space="preserve">https://eprint.iacr.org/2025/279</w:t>
        </w:r>
      </w:hyperlink>
    </w:p>
    <w:bookmarkEnd w:id="66"/>
    <w:bookmarkStart w:id="68" w:name="ref-eigenai2026"/>
    <w:p>
      <w:pPr>
        <w:pStyle w:val="Bibliography"/>
      </w:pPr>
      <w:r>
        <w:t xml:space="preserve">[12]</w:t>
      </w:r>
      <w:r>
        <w:t xml:space="preserve"> </w:t>
      </w:r>
      <w:r>
        <w:t xml:space="preserve">	</w:t>
      </w:r>
      <w:r>
        <w:t xml:space="preserve">D. R. Alves, V. Patankar, M. Pereira, J. Stephens, N. Vaziri, and S. Kannan.</w:t>
      </w:r>
      <w:r>
        <w:t xml:space="preserve"> </w:t>
      </w:r>
      <w:r>
        <w:t xml:space="preserve">EigenAI: Deterministic Inference, Verifiable Results</w:t>
      </w:r>
      <w:r>
        <w:t xml:space="preserve">.</w:t>
      </w:r>
      <w:r>
        <w:t xml:space="preserve"> </w:t>
      </w:r>
      <w:r>
        <w:rPr>
          <w:i/>
          <w:iCs/>
        </w:rPr>
        <w:t xml:space="preserve">arXiv preprint arXiv:2602.00182</w:t>
      </w:r>
      <w:r>
        <w:t xml:space="preserve">. 2026.</w:t>
      </w:r>
      <w:r>
        <w:t xml:space="preserve"> </w:t>
      </w:r>
      <w:hyperlink r:id="rId67">
        <w:r>
          <w:rPr>
            <w:rStyle w:val="Hyperlink"/>
          </w:rPr>
          <w:t xml:space="preserve">https://arxiv.org/abs/2602.00182</w:t>
        </w:r>
      </w:hyperlink>
    </w:p>
    <w:bookmarkEnd w:id="68"/>
    <w:bookmarkStart w:id="70" w:name="ref-boneh2023accountability"/>
    <w:p>
      <w:pPr>
        <w:pStyle w:val="Bibliography"/>
      </w:pPr>
      <w:r>
        <w:t xml:space="preserve">[13]</w:t>
      </w:r>
      <w:r>
        <w:t xml:space="preserve"> </w:t>
      </w:r>
      <w:r>
        <w:t xml:space="preserve">	</w:t>
      </w:r>
      <w:r>
        <w:t xml:space="preserve">D. Boneh, A. Partap, and L. Rotem. Accountability for misbehavior in threshold decryption via threshold traitor tracing. Cryptology</w:t>
      </w:r>
      <w:r>
        <w:t xml:space="preserve"> </w:t>
      </w:r>
      <w:r>
        <w:t xml:space="preserve">ePrint</w:t>
      </w:r>
      <w:r>
        <w:t xml:space="preserve"> </w:t>
      </w:r>
      <w:r>
        <w:t xml:space="preserve">Archive, Paper 2023/1724. 2023.</w:t>
      </w:r>
      <w:r>
        <w:t xml:space="preserve"> </w:t>
      </w:r>
      <w:hyperlink r:id="rId69">
        <w:r>
          <w:rPr>
            <w:rStyle w:val="Hyperlink"/>
          </w:rPr>
          <w:t xml:space="preserve">https://eprint.iacr.org/2023/1724</w:t>
        </w:r>
      </w:hyperlink>
    </w:p>
    <w:bookmarkEnd w:id="70"/>
    <w:bookmarkStart w:id="72" w:name="ref-lewis2025accountable"/>
    <w:p>
      <w:pPr>
        <w:pStyle w:val="Bibliography"/>
      </w:pPr>
      <w:r>
        <w:t xml:space="preserve">[14]</w:t>
      </w:r>
      <w:r>
        <w:t xml:space="preserve"> </w:t>
      </w:r>
      <w:r>
        <w:t xml:space="preserve">	</w:t>
      </w:r>
      <w:r>
        <w:t xml:space="preserve">A. Lewis-Pye, J. Neu, T. Roughgarden, and L. Zanolini. Accountable liveness.</w:t>
      </w:r>
      <w:r>
        <w:t xml:space="preserve"> </w:t>
      </w:r>
      <w:r>
        <w:rPr>
          <w:i/>
          <w:iCs/>
        </w:rPr>
        <w:t xml:space="preserve">arXiv preprint arXiv:2504.12218</w:t>
      </w:r>
      <w:r>
        <w:t xml:space="preserve">. 2025.</w:t>
      </w:r>
      <w:r>
        <w:t xml:space="preserve"> </w:t>
      </w:r>
      <w:hyperlink r:id="rId71">
        <w:r>
          <w:rPr>
            <w:rStyle w:val="Hyperlink"/>
          </w:rPr>
          <w:t xml:space="preserve">https://arxiv.org/abs/2504.12218</w:t>
        </w:r>
      </w:hyperlink>
    </w:p>
    <w:bookmarkEnd w:id="72"/>
    <w:bookmarkStart w:id="74" w:name="ref-chaum1992dleq"/>
    <w:p>
      <w:pPr>
        <w:pStyle w:val="Bibliography"/>
      </w:pPr>
      <w:r>
        <w:t xml:space="preserve">[15]</w:t>
      </w:r>
      <w:r>
        <w:t xml:space="preserve"> </w:t>
      </w:r>
      <w:r>
        <w:t xml:space="preserve">	</w:t>
      </w:r>
      <w:r>
        <w:t xml:space="preserve">D. Chaum, and T. P. Pedersen. Wallet databases with observers.</w:t>
      </w:r>
      <w:r>
        <w:t xml:space="preserve"> </w:t>
      </w:r>
      <w:r>
        <w:rPr>
          <w:i/>
          <w:iCs/>
        </w:rPr>
        <w:t xml:space="preserve">Advances in cryptology —</w:t>
      </w:r>
      <w:r>
        <w:rPr>
          <w:i/>
          <w:iCs/>
        </w:rPr>
        <w:t xml:space="preserve"> </w:t>
      </w:r>
      <w:r>
        <w:rPr>
          <w:i/>
          <w:iCs/>
        </w:rPr>
        <w:t xml:space="preserve">CRYPTO</w:t>
      </w:r>
      <w:r>
        <w:rPr>
          <w:i/>
          <w:iCs/>
        </w:rPr>
        <w:t xml:space="preserve"> </w:t>
      </w:r>
      <w:r>
        <w:rPr>
          <w:i/>
          <w:iCs/>
        </w:rPr>
        <w:t xml:space="preserve">’92</w:t>
      </w:r>
      <w:r>
        <w:t xml:space="preserve">. 1993, 89–105. doi:</w:t>
      </w:r>
      <w:r>
        <w:t xml:space="preserve"> </w:t>
      </w:r>
      <w:hyperlink r:id="rId73">
        <w:r>
          <w:rPr>
            <w:rStyle w:val="Hyperlink"/>
          </w:rPr>
          <w:t xml:space="preserve">10.1007/3-540-48071-4_7</w:t>
        </w:r>
      </w:hyperlink>
    </w:p>
    <w:bookmarkEnd w:id="74"/>
    <w:bookmarkStart w:id="76" w:name="ref-rfc9380"/>
    <w:p>
      <w:pPr>
        <w:pStyle w:val="Bibliography"/>
      </w:pPr>
      <w:r>
        <w:t xml:space="preserve">[16]</w:t>
      </w:r>
      <w:r>
        <w:t xml:space="preserve"> </w:t>
      </w:r>
      <w:r>
        <w:t xml:space="preserve">	</w:t>
      </w:r>
      <w:r>
        <w:t xml:space="preserve">A. Faz-Hernandez, S. Scott, N. Sullivan, R. S. Wahby, and C. A. Wood. Hashing to elliptic curves. Internet Engineering Task Force. 2023. doi:</w:t>
      </w:r>
      <w:r>
        <w:t xml:space="preserve"> </w:t>
      </w:r>
      <w:hyperlink r:id="rId75">
        <w:r>
          <w:rPr>
            <w:rStyle w:val="Hyperlink"/>
          </w:rPr>
          <w:t xml:space="preserve">10.17487/RFC9380</w:t>
        </w:r>
      </w:hyperlink>
    </w:p>
    <w:bookmarkEnd w:id="76"/>
    <w:bookmarkEnd w:id="77"/>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hyperlink" Id="rId71" Target="https://arxiv.org/abs/2504.12218" TargetMode="External" /><Relationship Type="http://schemas.openxmlformats.org/officeDocument/2006/relationships/hyperlink" Id="rId67" Target="https://arxiv.org/abs/2602.00182" TargetMode="External" /><Relationship Type="http://schemas.openxmlformats.org/officeDocument/2006/relationships/hyperlink" Id="rId48" Target="https://doi.org/10.1007/11605805_15" TargetMode="External" /><Relationship Type="http://schemas.openxmlformats.org/officeDocument/2006/relationships/hyperlink" Id="rId73" Target="https://doi.org/10.1007/3-540-48071-4_7" TargetMode="External" /><Relationship Type="http://schemas.openxmlformats.org/officeDocument/2006/relationships/hyperlink" Id="rId50" Target="https://doi.org/10.1007/3-540-48405-1_10" TargetMode="External" /><Relationship Type="http://schemas.openxmlformats.org/officeDocument/2006/relationships/hyperlink" Id="rId55" Target="https://doi.org/10.1109/BCCA53669.2021.9657019" TargetMode="External" /><Relationship Type="http://schemas.openxmlformats.org/officeDocument/2006/relationships/hyperlink" Id="rId75" Target="https://doi.org/10.17487/RFC9380" TargetMode="External" /><Relationship Type="http://schemas.openxmlformats.org/officeDocument/2006/relationships/hyperlink" Id="rId46" Target="https://eips.ethereum.org/EIPS/eip-7594" TargetMode="External" /><Relationship Type="http://schemas.openxmlformats.org/officeDocument/2006/relationships/hyperlink" Id="rId57" Target="https://eprint.iacr.org/2022/898" TargetMode="External" /><Relationship Type="http://schemas.openxmlformats.org/officeDocument/2006/relationships/hyperlink" Id="rId69" Target="https://eprint.iacr.org/2023/1724" TargetMode="External" /><Relationship Type="http://schemas.openxmlformats.org/officeDocument/2006/relationships/hyperlink" Id="rId61" Target="https://eprint.iacr.org/2023/616" TargetMode="External" /><Relationship Type="http://schemas.openxmlformats.org/officeDocument/2006/relationships/hyperlink" Id="rId63" Target="https://eprint.iacr.org/2025/2048" TargetMode="External" /><Relationship Type="http://schemas.openxmlformats.org/officeDocument/2006/relationships/hyperlink" Id="rId65" Target="https://eprint.iacr.org/2025/279" TargetMode="External" /><Relationship Type="http://schemas.openxmlformats.org/officeDocument/2006/relationships/hyperlink" Id="rId53" Target="https://www.usenix.org/conference/usenixsecurity23/presentation/yurek" TargetMode="External" /><Relationship Type="http://schemas.openxmlformats.org/officeDocument/2006/relationships/hyperlink" Id="rId59" Target="https://www.usenix.org/conference/usenixsecurity25/presentation/bormet" TargetMode="External" /><Relationship Type="http://schemas.openxmlformats.org/officeDocument/2006/relationships/hyperlink" Id="rId9" Target="mailto:zmzubraj@gmail.com" TargetMode="External" /></Relationships>
</file>

<file path=word/_rels/footnotes.xml.rels><?xml version="1.0" encoding="UTF-8"?><Relationships xmlns="http://schemas.openxmlformats.org/package/2006/relationships"><Relationship Type="http://schemas.openxmlformats.org/officeDocument/2006/relationships/hyperlink" Id="rId71" Target="https://arxiv.org/abs/2504.12218" TargetMode="External" /><Relationship Type="http://schemas.openxmlformats.org/officeDocument/2006/relationships/hyperlink" Id="rId67" Target="https://arxiv.org/abs/2602.00182" TargetMode="External" /><Relationship Type="http://schemas.openxmlformats.org/officeDocument/2006/relationships/hyperlink" Id="rId48" Target="https://doi.org/10.1007/11605805_15" TargetMode="External" /><Relationship Type="http://schemas.openxmlformats.org/officeDocument/2006/relationships/hyperlink" Id="rId73" Target="https://doi.org/10.1007/3-540-48071-4_7" TargetMode="External" /><Relationship Type="http://schemas.openxmlformats.org/officeDocument/2006/relationships/hyperlink" Id="rId50" Target="https://doi.org/10.1007/3-540-48405-1_10" TargetMode="External" /><Relationship Type="http://schemas.openxmlformats.org/officeDocument/2006/relationships/hyperlink" Id="rId55" Target="https://doi.org/10.1109/BCCA53669.2021.9657019" TargetMode="External" /><Relationship Type="http://schemas.openxmlformats.org/officeDocument/2006/relationships/hyperlink" Id="rId75" Target="https://doi.org/10.17487/RFC9380" TargetMode="External" /><Relationship Type="http://schemas.openxmlformats.org/officeDocument/2006/relationships/hyperlink" Id="rId46" Target="https://eips.ethereum.org/EIPS/eip-7594" TargetMode="External" /><Relationship Type="http://schemas.openxmlformats.org/officeDocument/2006/relationships/hyperlink" Id="rId57" Target="https://eprint.iacr.org/2022/898" TargetMode="External" /><Relationship Type="http://schemas.openxmlformats.org/officeDocument/2006/relationships/hyperlink" Id="rId69" Target="https://eprint.iacr.org/2023/1724" TargetMode="External" /><Relationship Type="http://schemas.openxmlformats.org/officeDocument/2006/relationships/hyperlink" Id="rId61" Target="https://eprint.iacr.org/2023/616" TargetMode="External" /><Relationship Type="http://schemas.openxmlformats.org/officeDocument/2006/relationships/hyperlink" Id="rId63" Target="https://eprint.iacr.org/2025/2048" TargetMode="External" /><Relationship Type="http://schemas.openxmlformats.org/officeDocument/2006/relationships/hyperlink" Id="rId65" Target="https://eprint.iacr.org/2025/279" TargetMode="External" /><Relationship Type="http://schemas.openxmlformats.org/officeDocument/2006/relationships/hyperlink" Id="rId53" Target="https://www.usenix.org/conference/usenixsecurity23/presentation/yurek" TargetMode="External" /><Relationship Type="http://schemas.openxmlformats.org/officeDocument/2006/relationships/hyperlink" Id="rId59" Target="https://www.usenix.org/conference/usenixsecurity25/presentation/bormet" TargetMode="External" /><Relationship Type="http://schemas.openxmlformats.org/officeDocument/2006/relationships/hyperlink" Id="rId9" Target="mailto:zmzubraj@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KEYSTONE: Auditable Dispute-Key Availability for Encrypted AI Rollups</dc:title>
  <dc:creator>Zubaer Mahmood Zubraj Department of Computer Science, East Delta University Chittagong, Bangladesh zmzubraj@gmail.com</dc:creator>
  <cp:keywords/>
  <dcterms:created xsi:type="dcterms:W3CDTF">2026-08-30T15:41:49Z</dcterms:created>
  <dcterms:modified xsi:type="dcterms:W3CDTF">2026-08-30T15:41:49Z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Encrypted optimistic rollups may preserve the availability of ciphertext and execution receipts while failing when a dispute requires timely authorized decryption. This paper studies that gap as dispute-key availability (DKA): the conditional ability of an authorized verifier to obtain at least a threshold number of valid decryption contributions before a dispute deadline, while preserving confidentiality before authorization. KEYSTONE is a non-production cryptographic-systems design that combines established threshold-KEM and verifiable partial-decryption components with an unpredictable canary audit, a public request/deadline transcript, and failure-domain-aware sampling. For a committee of n custodians, threshold t, audit sample size s, and acceptance threshold q, we derive a hypergeometric false-accept expression for static catastrophic states. At the frozen baseline n=32, t=22, and s=q=8, the worst-case catastrophic false-accept probability is \binom{21}{8}/\binom{32}{8}=0.0193463, corresponding to a detection probability of 0.980654. An internal exploratory selective-withholding sweep also provides a constructive limitation: eleven custodians can answer every non-production audit while refusing a target dispute, leaving only twenty-one responses and preventing threshold reconstruction. This result shows why an audit is evidence of present sampled serviceability, not a proof of future cooperation. The contribution is therefore a property separation, an integration design, and a bounded analysis—not a new threshold-encryption primitive or a claim of production security. Novelty relative to the strongest recovered predecessor set remains under independent review, and all simulation and prototype outputs are explicitly preliminary rather than confirmatory.</vt:lpwstr>
  </property>
  <property fmtid="{D5CDD505-2E9C-101B-9397-08002B2CF9AE}" pid="3" name="bibliography">
    <vt:lpwstr/>
  </property>
  <property fmtid="{D5CDD505-2E9C-101B-9397-08002B2CF9AE}" pid="4" name="csl">
    <vt:lpwstr>numeric-citations.csl</vt:lpwstr>
  </property>
  <property fmtid="{D5CDD505-2E9C-101B-9397-08002B2CF9AE}" pid="5" name="date">
    <vt:lpwstr>External PhD Review Draft — 30 August 2026</vt:lpwstr>
  </property>
  <property fmtid="{D5CDD505-2E9C-101B-9397-08002B2CF9AE}" pid="6" name="reference-section-title">
    <vt:lpwstr>References</vt:lpwstr>
  </property>
</Properties>
</file>