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is externally attested but C3 is NOT_SUPPORTED; evaluator identity/independence/key custody, authenticated independent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85c83c54f95f7f0b6cb58602dcdffa674b3ec2b6d251f85d23bceb31be44e9c0</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an externally authorized, post-execution-attested E3 real-model run produced a negative result. E3 measured FAR 0.500 (1/2), FRR 0.167 (1/6), ABSTAIN 0.125 (1/8), coverage 0.875 (7/8), and Brier calibration 0.178. Because FAR exceeded the frozen </w:t>
      </w:r>
      <w:r>
        <w:rPr>
          <w:rFonts w:ascii="Courier New" w:cs="Courier New" w:eastAsia="Courier New" w:hAnsi="Courier New"/>
          <w:color w:val="1F4E5F"/>
        </w:rPr>
        <w:t xml:space="preserve">alpha_sem=0.25</w:t>
      </w:r>
      <w:r>
        <w:t xml:space="preserve"> threshold, C3 is </w:t>
      </w:r>
      <w:r>
        <w:rPr>
          <w:rFonts w:ascii="Courier New" w:cs="Courier New" w:eastAsia="Courier New" w:hAnsi="Courier New"/>
          <w:color w:val="1F4E5F"/>
        </w:rPr>
        <w:t xml:space="preserve">NOT_SUPPORTED</w:t>
      </w:r>
      <w:r>
        <w:t xml:space="preserve">. The run contained only n=8 items, including invalid n=2, and does not establish general semantic reliability. The strongest positive measured result remains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widowControl/>
        <w:spacing w:after="120" w:line="280"/>
      </w:pPr>
      <w:r>
        <w:rPr>
          <w:b/>
          <w:bCs/>
        </w:rPr>
        <w:t xml:space="preserve">Keywords:</w:t>
      </w:r>
      <w:r>
        <w:t xml:space="preserve"> proof of intelligence, verifiable AI inference, blockchain consensus, optimistic verification, evidence provenance, smart contracts</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[11], zero-knowledge machine-learning verification [9,10], or weighted Byzantine fault tolerance [12]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rPr>
        <w:t xml:space="preserve">docs/diagrams/D1_system_architecture.mmd</w:t>
      </w:r>
    </w:p>
    <w:p>
      <w:pPr>
        <w:pStyle w:val="ListParagraph"/>
        <w:numPr>
          <w:ilvl w:val="0"/>
          <w:numId w:val="1"/>
        </w:numPr>
        <w:spacing w:after="60"/>
      </w:pPr>
      <w:r>
        <w:rPr>
          <w:rFonts w:ascii="Courier New" w:cs="Courier New" w:eastAsia="Courier New" w:hAnsi="Courier New"/>
          <w:color w:val="1F4E5F"/>
        </w:rPr>
        <w:t xml:space="preserve">docs/diagrams/D2_spai_sequence.mmd</w:t>
      </w:r>
    </w:p>
    <w:p>
      <w:pPr>
        <w:pStyle w:val="ListParagraph"/>
        <w:numPr>
          <w:ilvl w:val="0"/>
          <w:numId w:val="1"/>
        </w:numPr>
        <w:spacing w:after="60"/>
      </w:pPr>
      <w:r>
        <w:rPr>
          <w:rFonts w:ascii="Courier New" w:cs="Courier New" w:eastAsia="Courier New" w:hAnsi="Courier New"/>
          <w:color w:val="1F4E5F"/>
        </w:rPr>
        <w:t xml:space="preserve">docs/diagrams/D3_receipt_state.mmd</w:t>
      </w:r>
    </w:p>
    <w:p>
      <w:pPr>
        <w:pStyle w:val="ListParagraph"/>
        <w:numPr>
          <w:ilvl w:val="0"/>
          <w:numId w:val="1"/>
        </w:numPr>
        <w:spacing w:after="60"/>
      </w:pPr>
      <w:r>
        <w:rPr>
          <w:rFonts w:ascii="Courier New" w:cs="Courier New" w:eastAsia="Courier New" w:hAnsi="Courier New"/>
          <w:color w:val="1F4E5F"/>
        </w:rPr>
        <w:t xml:space="preserve">docs/diagrams/D4_audit_compiler.mmd</w:t>
      </w:r>
    </w:p>
    <w:p>
      <w:pPr>
        <w:pStyle w:val="ListParagraph"/>
        <w:numPr>
          <w:ilvl w:val="0"/>
          <w:numId w:val="1"/>
        </w:numPr>
        <w:spacing w:after="60"/>
      </w:pPr>
      <w:r>
        <w:rPr>
          <w:rFonts w:ascii="Courier New" w:cs="Courier New" w:eastAsia="Courier New" w:hAnsi="Courier New"/>
          <w:color w:val="1F4E5F"/>
        </w:rPr>
        <w:t xml:space="preserve">docs/diagrams/D5_economic_flow.mmd</w:t>
      </w:r>
    </w:p>
    <w:p>
      <w:pPr>
        <w:pStyle w:val="ListParagraph"/>
        <w:numPr>
          <w:ilvl w:val="0"/>
          <w:numId w:val="1"/>
        </w:numPr>
        <w:spacing w:after="60"/>
      </w:pPr>
      <w:r>
        <w:rPr>
          <w:rFonts w:ascii="Courier New" w:cs="Courier New" w:eastAsia="Courier New" w:hAnsi="Courier New"/>
          <w:color w:val="1F4E5F"/>
        </w:rPr>
        <w:t xml:space="preserve">docs/diagrams/D6_semantic_audit.mmd</w:t>
      </w:r>
    </w:p>
    <w:p>
      <w:pPr>
        <w:pStyle w:val="ListParagraph"/>
        <w:numPr>
          <w:ilvl w:val="0"/>
          <w:numId w:val="1"/>
        </w:numPr>
        <w:spacing w:after="60"/>
      </w:pPr>
      <w:r>
        <w:rPr>
          <w:rFonts w:ascii="Courier New" w:cs="Courier New" w:eastAsia="Courier New" w:hAnsi="Courier New"/>
          <w:color w:val="1F4E5F"/>
        </w:rPr>
        <w:t xml:space="preserve">docs/algorithms/A1_SPAI.md</w:t>
      </w:r>
    </w:p>
    <w:p>
      <w:pPr>
        <w:pStyle w:val="ListParagraph"/>
        <w:numPr>
          <w:ilvl w:val="0"/>
          <w:numId w:val="1"/>
        </w:numPr>
        <w:spacing w:after="60"/>
      </w:pPr>
      <w:r>
        <w:rPr>
          <w:rFonts w:ascii="Courier New" w:cs="Courier New" w:eastAsia="Courier New" w:hAnsi="Courier New"/>
          <w:color w:val="1F4E5F"/>
        </w:rPr>
        <w:t xml:space="preserve">docs/algorithms/A2_AuditCompiler.md</w:t>
      </w:r>
    </w:p>
    <w:p>
      <w:pPr>
        <w:pStyle w:val="ListParagraph"/>
        <w:numPr>
          <w:ilvl w:val="0"/>
          <w:numId w:val="1"/>
        </w:numPr>
        <w:spacing w:after="60"/>
      </w:pPr>
      <w:r>
        <w:rPr>
          <w:rFonts w:ascii="Courier New" w:cs="Courier New" w:eastAsia="Courier New" w:hAnsi="Courier New"/>
          <w:color w:val="1F4E5F"/>
        </w:rPr>
        <w:t xml:space="preserve">docs/algorithms/A3_VerifySPAIEvent.md</w:t>
      </w:r>
    </w:p>
    <w:p>
      <w:pPr>
        <w:pStyle w:val="ListParagraph"/>
        <w:numPr>
          <w:ilvl w:val="0"/>
          <w:numId w:val="1"/>
        </w:numPr>
        <w:spacing w:after="60"/>
      </w:pPr>
      <w:r>
        <w:rPr>
          <w:rFonts w:ascii="Courier New" w:cs="Courier New" w:eastAsia="Courier New" w:hAnsi="Courier New"/>
          <w:color w:val="1F4E5F"/>
        </w:rPr>
        <w:t xml:space="preserve">docs/algorithms/A4_PoI_Credit.md</w:t>
      </w:r>
    </w:p>
    <w:p>
      <w:pPr>
        <w:pStyle w:val="ListParagraph"/>
        <w:numPr>
          <w:ilvl w:val="0"/>
          <w:numId w:val="1"/>
        </w:numPr>
        <w:spacing w:after="60"/>
      </w:pPr>
      <w:r>
        <w:rPr>
          <w:rFonts w:ascii="Courier New" w:cs="Courier New" w:eastAsia="Courier New" w:hAnsi="Courier New"/>
          <w:color w:val="1F4E5F"/>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rPr>
        <w:t xml:space="preserve">README.md</w:t>
      </w:r>
    </w:p>
    <w:p>
      <w:pPr>
        <w:pStyle w:val="ListParagraph"/>
        <w:numPr>
          <w:ilvl w:val="0"/>
          <w:numId w:val="1"/>
        </w:numPr>
        <w:spacing w:after="60"/>
      </w:pPr>
      <w:r>
        <w:rPr>
          <w:rFonts w:ascii="Courier New" w:cs="Courier New" w:eastAsia="Courier New" w:hAnsi="Courier New"/>
          <w:color w:val="1F4E5F"/>
        </w:rPr>
        <w:t xml:space="preserve">docs/EXPERIMENT_PLAN.md</w:t>
      </w:r>
    </w:p>
    <w:p>
      <w:pPr>
        <w:pStyle w:val="ListParagraph"/>
        <w:numPr>
          <w:ilvl w:val="0"/>
          <w:numId w:val="1"/>
        </w:numPr>
        <w:spacing w:after="60"/>
      </w:pPr>
      <w:r>
        <w:rPr>
          <w:rFonts w:ascii="Courier New" w:cs="Courier New" w:eastAsia="Courier New" w:hAnsi="Courier New"/>
          <w:color w:val="1F4E5F"/>
        </w:rPr>
        <w:t xml:space="preserve">docs/EXPERIMENT_ARTIFACT_MATRIX.md</w:t>
      </w:r>
    </w:p>
    <w:p>
      <w:pPr>
        <w:pStyle w:val="ListParagraph"/>
        <w:numPr>
          <w:ilvl w:val="0"/>
          <w:numId w:val="1"/>
        </w:numPr>
        <w:spacing w:after="60"/>
      </w:pPr>
      <w:r>
        <w:rPr>
          <w:rFonts w:ascii="Courier New" w:cs="Courier New" w:eastAsia="Courier New" w:hAnsi="Courier New"/>
          <w:color w:val="1F4E5F"/>
        </w:rPr>
        <w:t xml:space="preserve">docs/ARTIFACT_COLLECTION_GUIDE.md</w:t>
      </w:r>
    </w:p>
    <w:p>
      <w:pPr>
        <w:pStyle w:val="ListParagraph"/>
        <w:numPr>
          <w:ilvl w:val="0"/>
          <w:numId w:val="1"/>
        </w:numPr>
        <w:spacing w:after="60"/>
      </w:pPr>
      <w:r>
        <w:rPr>
          <w:rFonts w:ascii="Courier New" w:cs="Courier New" w:eastAsia="Courier New" w:hAnsi="Courier New"/>
          <w:color w:val="1F4E5F"/>
        </w:rPr>
        <w:t xml:space="preserve">docs/PAPER_ARTIFACT_MAP.md</w:t>
      </w:r>
    </w:p>
    <w:p>
      <w:pPr>
        <w:pStyle w:val="ListParagraph"/>
        <w:numPr>
          <w:ilvl w:val="0"/>
          <w:numId w:val="1"/>
        </w:numPr>
        <w:spacing w:after="60"/>
      </w:pPr>
      <w:r>
        <w:rPr>
          <w:rFonts w:ascii="Courier New" w:cs="Courier New" w:eastAsia="Courier New" w:hAnsi="Courier New"/>
          <w:color w:val="1F4E5F"/>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 missing authorization required for any future execution, missing independent review, or an absent freeze sentinel. The retained E3 run is not authority-blocked: its signed-revision pre-execution authorization and post-execution artifact attestation were verified, and its negative result remains </w:t>
      </w:r>
      <w:r>
        <w:rPr>
          <w:rFonts w:ascii="Courier New" w:cs="Courier New" w:eastAsia="Courier New" w:hAnsi="Courier New"/>
          <w:color w:val="1F4E5F"/>
        </w:rPr>
        <w:t xml:space="preserve">C3=NOT_SUPPORTED</w:t>
      </w:r>
      <w:r>
        <w:t xml:space="preserve">.</w:t>
      </w:r>
    </w:p>
    <w:p>
      <w:pPr>
        <w:pStyle w:val="Heading2"/>
        <w:keepNext/>
      </w:pPr>
      <w:r>
        <w:t xml:space="preserve">4.3 Canonical publication state</w:t>
      </w:r>
    </w:p>
    <w:p>
      <w:pPr>
        <w:widowControl/>
        <w:spacing w:after="120" w:line="280"/>
      </w:pPr>
      <w:r>
        <w:t xml:space="preserve">The canonical artifact manifest contains E1-E8 result surfaces, including the externally attested negative E3 result, and contains no E3 omission after verified import. It does not make the manuscript publication-ready. E3 evaluator identity/independence/key-custody confirmation, independent review, and the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rPr>
        <w:t xml:space="preserve">docs/EXPERIMENT_PLAN.md</w:t>
      </w:r>
      <w:r>
        <w:t xml:space="preserve">, mapped to paper artifacts in </w:t>
      </w:r>
      <w:r>
        <w:rPr>
          <w:rFonts w:ascii="Courier New" w:cs="Courier New" w:eastAsia="Courier New" w:hAnsi="Courier New"/>
          <w:color w:val="1F4E5F"/>
        </w:rPr>
        <w:t xml:space="preserve">docs/EXPERIMENT_ARTIFACT_MATRIX.md</w:t>
      </w:r>
      <w:r>
        <w:t xml:space="preserve">, and collected through </w:t>
      </w:r>
      <w:r>
        <w:rPr>
          <w:rFonts w:ascii="Courier New" w:cs="Courier New" w:eastAsia="Courier New" w:hAnsi="Courier New"/>
          <w:color w:val="1F4E5F"/>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rPr>
        <w:t xml:space="preserve">INCONCLUSIVE</w:t>
      </w:r>
      <w:r>
        <w:t xml:space="preserve">, C2 </w:t>
      </w:r>
      <w:r>
        <w:rPr>
          <w:rFonts w:ascii="Courier New" w:cs="Courier New" w:eastAsia="Courier New" w:hAnsi="Courier New"/>
          <w:color w:val="1F4E5F"/>
        </w:rPr>
        <w:t xml:space="preserve">INCONCLUSIVE</w:t>
      </w:r>
      <w:r>
        <w:t xml:space="preserve">, E3 C3 </w:t>
      </w:r>
      <w:r>
        <w:rPr>
          <w:rFonts w:ascii="Courier New" w:cs="Courier New" w:eastAsia="Courier New" w:hAnsi="Courier New"/>
          <w:color w:val="1F4E5F"/>
        </w:rPr>
        <w:t xml:space="preserve">NOT_SUPPORTED</w:t>
      </w:r>
      <w:r>
        <w:t xml:space="preserve">, C4 </w:t>
      </w:r>
      <w:r>
        <w:rPr>
          <w:rFonts w:ascii="Courier New" w:cs="Courier New" w:eastAsia="Courier New" w:hAnsi="Courier New"/>
          <w:color w:val="1F4E5F"/>
        </w:rPr>
        <w:t xml:space="preserve">INCONCLUSIVE</w:t>
      </w:r>
      <w:r>
        <w:t xml:space="preserve">, C5 </w:t>
      </w:r>
      <w:r>
        <w:rPr>
          <w:rFonts w:ascii="Courier New" w:cs="Courier New" w:eastAsia="Courier New" w:hAnsi="Courier New"/>
          <w:color w:val="1F4E5F"/>
        </w:rPr>
        <w:t xml:space="preserve">SUPPORTED</w:t>
      </w:r>
      <w:r>
        <w:t xml:space="preserve"> within a declared simulation, C6 </w:t>
      </w:r>
      <w:r>
        <w:rPr>
          <w:rFonts w:ascii="Courier New" w:cs="Courier New" w:eastAsia="Courier New" w:hAnsi="Courier New"/>
          <w:color w:val="1F4E5F"/>
        </w:rPr>
        <w:t xml:space="preserve">SUPPORTED</w:t>
      </w:r>
      <w:r>
        <w:t xml:space="preserve"> within a declared simulation, E7 local boundedness </w:t>
      </w:r>
      <w:r>
        <w:rPr>
          <w:rFonts w:ascii="Courier New" w:cs="Courier New" w:eastAsia="Courier New" w:hAnsi="Courier New"/>
          <w:color w:val="1F4E5F"/>
        </w:rPr>
        <w:t xml:space="preserve">SUPPORTED</w:t>
      </w:r>
      <w:r>
        <w:t xml:space="preserve">, and E8 </w:t>
      </w:r>
      <w:r>
        <w:rPr>
          <w:rFonts w:ascii="Courier New" w:cs="Courier New" w:eastAsia="Courier New" w:hAnsi="Courier New"/>
          <w:color w:val="1F4E5F"/>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Externally attested negative real-model run</w:t>
            </w:r>
          </w:p>
        </w:tc>
        <w:tc>
          <w:tcPr>
            <w:tcW w:type="pct" w:w="20%"/>
            <w:tcMar>
              <w:top w:type="dxa" w:w="80"/>
              <w:left w:type="dxa" w:w="90"/>
              <w:bottom w:type="dxa" w:w="80"/>
              <w:right w:type="dxa" w:w="90"/>
            </w:tcMar>
          </w:tcPr>
          <w:p>
            <w:pPr>
              <w:spacing w:after="0"/>
            </w:pPr>
            <w:r>
              <w:rPr>
                <w:b w:val="false"/>
                <w:bCs w:val="false"/>
                <w:sz w:val="18"/>
                <w:szCs w:val="18"/>
              </w:rPr>
              <w:t xml:space="preserve">8</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NOT_SUPPORTED</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negative semantic result and declared simulations</w:t>
      </w:r>
    </w:p>
    <w:p>
      <w:pPr>
        <w:widowControl/>
        <w:spacing w:after="120" w:line="280"/>
      </w:pPr>
      <w:r>
        <w:t xml:space="preserve">E3 (T4, T8, F7) is an externally authorized and post-execution-attested </w:t>
      </w:r>
      <w:r>
        <w:rPr>
          <w:rFonts w:ascii="Courier New" w:cs="Courier New" w:eastAsia="Courier New" w:hAnsi="Courier New"/>
          <w:color w:val="1F4E5F"/>
        </w:rPr>
        <w:t xml:space="preserve">REAL_MODEL_EXECUTION</w:t>
      </w:r>
      <w:r>
        <w:t xml:space="preserve"> run. It measured FAR 0.500 (1/2), FRR 0.167 (1/6), ABSTAIN 0.125 (1/8), coverage 0.875 (7/8), and Brier calibration 0.178. The frozen decision rule is </w:t>
      </w:r>
      <w:r>
        <w:rPr>
          <w:rFonts w:ascii="Courier New" w:cs="Courier New" w:eastAsia="Courier New" w:hAnsi="Courier New"/>
          <w:color w:val="1F4E5F"/>
        </w:rPr>
        <w:t xml:space="preserve">alpha_sem=0.25</w:t>
      </w:r>
      <w:r>
        <w:t xml:space="preserve">; because FAR exceeded that threshold, C3 is </w:t>
      </w:r>
      <w:r>
        <w:rPr>
          <w:rFonts w:ascii="Courier New" w:cs="Courier New" w:eastAsia="Courier New" w:hAnsi="Courier New"/>
          <w:color w:val="1F4E5F"/>
        </w:rPr>
        <w:t xml:space="preserve">NOT_SUPPORTED</w:t>
      </w:r>
      <w:r>
        <w:t xml:space="preserve">. The sample contained only n=8 items, including invalid n=2, so the run does not establish general semantic reliability. The cryptographic validity authenticates the signed authority/attestation bytes and exact artifact hashes; it does not prove the evaluator's real-world identity, independence, expertise, or private-key custody, which require accountable out-of-band confirmation.</w:t>
      </w:r>
    </w:p>
    <w:p>
      <w:pPr>
        <w:keepNext/>
        <w:spacing w:after="80" w:before="140"/>
        <w:jc w:val="center"/>
      </w:pPr>
      <w:r>
        <w:drawing>
          <wp:inline distT="0" distB="0" distL="0" distR="0">
            <wp:extent cx="5715000" cy="3219450"/>
            <wp:effectExtent t="0" r="0" b="0" l="0"/>
            <wp:docPr id="1" name="F7_semantic_verification_quality.png" descr="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titl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3E4D53"/>
          <w:sz w:val="18"/>
          <w:szCs w:val="18"/>
        </w:rPr>
        <w:t xml:space="preserv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w:t>
      </w:r>
    </w:p>
    <w:p>
      <w:pPr>
        <w:widowControl/>
        <w:spacing w:after="120" w:line="280"/>
      </w:pPr>
      <w:r>
        <w:t xml:space="preserve">E4 (T9, F8) is an </w:t>
      </w:r>
      <w:r>
        <w:rPr>
          <w:rFonts w:ascii="Courier New" w:cs="Courier New" w:eastAsia="Courier New" w:hAnsi="Courier New"/>
          <w:color w:val="1F4E5F"/>
        </w:rPr>
        <w:t xml:space="preserve">INCONCLUSIVE</w:t>
      </w:r>
      <w:r>
        <w:t xml:space="preserve"> declared playback simulation, not executed reconstruction evidence. E5 (T10) is </w:t>
      </w:r>
      <w:r>
        <w:rPr>
          <w:rFonts w:ascii="Courier New" w:cs="Courier New" w:eastAsia="Courier New" w:hAnsi="Courier New"/>
          <w:color w:val="1F4E5F"/>
        </w:rPr>
        <w:t xml:space="preserve">SUPPORTED</w:t>
      </w:r>
      <w:r>
        <w:t xml:space="preserve"> only for its declared watcher/dispute-economic simulation scenarios and has no figure. E6 (T11, F9, F10) is </w:t>
      </w:r>
      <w:r>
        <w:rPr>
          <w:rFonts w:ascii="Courier New" w:cs="Courier New" w:eastAsia="Courier New" w:hAnsi="Courier New"/>
          <w:color w:val="1F4E5F"/>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8_da_withholding.png" descr="Figure 8. E4 declared data-availability playback. The two scenario values and interval bounds are reproducible simulation outputs, not executed reconstruction or production DA evidence. The experiment remains INCONCLUSIVE." title="Figure 8. E4 declared data-availability playback. The two scenario values and interval bounds are reproducible simulation outputs, not executed reconstruction or production DA evidence. The experiment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8. E4 declared data-availability playback. The two scenario values and interval bounds are reproducible simulation outputs, not executed reconstruction or production DA evidence. The experiment remains INCONCLUSIVE.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rPr>
        <w:t xml:space="preserve">SUPPORTED</w:t>
      </w:r>
      <w:r>
        <w:t xml:space="preserve"> local Foundry measurements. The largest observed gas value is 467937 for </w:t>
      </w:r>
      <w:r>
        <w:rPr>
          <w:rFonts w:ascii="Courier New" w:cs="Courier New" w:eastAsia="Courier New" w:hAnsi="Courier New"/>
          <w:color w:val="1F4E5F"/>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86075"/>
                    </a:xfrm>
                    <a:prstGeom prst="rect">
                      <a:avLst/>
                    </a:prstGeom>
                  </pic:spPr>
                </pic:pic>
              </a:graphicData>
            </a:graphic>
          </wp:inline>
        </w:drawing>
      </w:r>
    </w:p>
    <w:p>
      <w:pPr>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rPr>
        <w:t xml:space="preserve">INCONCLUSIVE</w:t>
      </w:r>
      <w:r>
        <w:t xml:space="preserve"> reproducible-simulation rows. It may describe modeled receipt-to-weight dynamics, but it is not demonstrated consensus security.</w:t>
      </w:r>
    </w:p>
    <w:p>
      <w:pPr>
        <w:keepNext/>
        <w:spacing w:after="80" w:before="140"/>
        <w:jc w:val="center"/>
      </w:pPr>
      <w:r>
        <w:drawing>
          <wp:inline distT="0" distB="0" distL="0" distR="0">
            <wp:extent cx="5715000" cy="3448050"/>
            <wp:effectExtent t="0" r="0" b="0" l="0"/>
            <wp:docPr id="1" name="F11_consensus_dynamics.png" descr="Figure 11. E8 modeled next-epoch attacker-weight thresholds across the frozen simulation scenarios. Probabilities are reproducible simulation outputs; they do not establish live-network or production consensus security, and E8 remains INCONCLUSIVE." title="Figure 11. E8 modeled next-epoch attacker-weight thresholds across the frozen simulation scenarios. Probabilities are reproducible simulation outputs; they do not establish live-network or production consensus security, and E8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48050"/>
                    </a:xfrm>
                    <a:prstGeom prst="rect">
                      <a:avLst/>
                    </a:prstGeom>
                  </pic:spPr>
                </pic:pic>
              </a:graphicData>
            </a:graphic>
          </wp:inline>
        </w:drawing>
      </w:r>
    </w:p>
    <w:p>
      <w:pPr>
        <w:spacing w:after="180"/>
        <w:jc w:val="center"/>
      </w:pPr>
      <w:r>
        <w:rPr>
          <w:i/>
          <w:iCs/>
          <w:color w:val="3E4D53"/>
          <w:sz w:val="18"/>
          <w:szCs w:val="18"/>
        </w:rPr>
        <w:t xml:space="preserve">Figure 11. E8 modeled next-epoch attacker-weight thresholds across the frozen simulation scenarios. Probabilities are reproducible simulation outputs; they do not establish live-network or production consensus security, and E8 remains INCONCLUSIVE.</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general semantic reliability: the externally authorized and post-execution-attested E3 real-model run was negative under the frozen rule (</w:t>
      </w:r>
      <w:r>
        <w:rPr>
          <w:rFonts w:ascii="Courier New" w:cs="Courier New" w:eastAsia="Courier New" w:hAnsi="Courier New"/>
          <w:color w:val="1F4E5F"/>
        </w:rPr>
        <w:t xml:space="preserve">C3=NOT_SUPPORTED</w:t>
      </w:r>
      <w:r>
        <w:t xml:space="preserve">) and included only eight items, including two invalid items;</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rPr>
        <w:t xml:space="preserve">INCONCLUSIVE</w:t>
      </w:r>
      <w:r>
        <w:t xml:space="preserve">; E5 and E6 are supported only within declared simulation scenarios; and E7 is supported only for local Foundry boundedness. E3 is an externally attested real-model run, </w:t>
      </w:r>
      <w:r>
        <w:rPr>
          <w:rFonts w:ascii="Courier New" w:cs="Courier New" w:eastAsia="Courier New" w:hAnsi="Courier New"/>
          <w:color w:val="1F4E5F"/>
        </w:rPr>
        <w:t xml:space="preserve">NOT_SUPPORTED</w:t>
      </w:r>
      <w:r>
        <w:t xml:space="preserve"> (FAR 0.500 &gt; alpha_sem 0.25).</w:t>
      </w:r>
    </w:p>
    <w:p>
      <w:pPr>
        <w:widowControl/>
        <w:spacing w:after="120" w:line="280"/>
      </w:pPr>
      <w:r>
        <w:t xml:space="preserve">Fifth, the canonical bundle remains not publication-ready because it preserves unresolved gates rather than relabeling them as success. E3 pre-execution authority and its externally signed post-execution artifact attestation were verified for the hash-bound signed revision, but cryptographic validity alone does not prove the evaluator's real-world identity, independence, expertise, or private-key custody. Those out-of-band confirmations,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positive repository-grounded result is local EVM boundedness (E7). E1 and E2 have canonical but inconclusive real-model pilot artifacts; E4 and E8 are inconclusive simulations; E5 and E6 are supported only within their declared simulations; and E3 is a canonical externally attested negative real-model result with C3 </w:t>
      </w:r>
      <w:r>
        <w:rPr>
          <w:rFonts w:ascii="Courier New" w:cs="Courier New" w:eastAsia="Courier New" w:hAnsi="Courier New"/>
          <w:color w:val="1F4E5F"/>
        </w:rPr>
        <w:t xml:space="preserve">NOT_SUPPORTED</w:t>
      </w:r>
      <w:r>
        <w:t xml:space="preserve">.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current candidate report bundle is rooted at </w:t>
      </w:r>
      <w:r>
        <w:rPr>
          <w:rFonts w:ascii="Courier New" w:cs="Courier New" w:eastAsia="Courier New" w:hAnsi="Courier New"/>
          <w:color w:val="1F4E5F"/>
        </w:rPr>
        <w:t xml:space="preserve">publication/artifact_manifest.json</w:t>
      </w:r>
      <w:r>
        <w:t xml:space="preserve">, SHA-256 </w:t>
      </w:r>
      <w:r>
        <w:rPr>
          <w:rFonts w:ascii="Courier New" w:cs="Courier New" w:eastAsia="Courier New" w:hAnsi="Courier New"/>
          <w:color w:val="1F4E5F"/>
        </w:rPr>
        <w:t xml:space="preserve">85c83c54f95f7f0b6cb58602dcdffa674b3ec2b6d251f85d23bceb31be44e9c0</w:t>
      </w:r>
      <w:r>
        <w:t xml:space="preserve">. It contains machine-readable tables, quantitative SVG and JSON outputs, the claim matrix, and the omission ledger. Integrated manifest validation currently fails closed because the recorded input hash for </w:t>
      </w:r>
      <w:r>
        <w:rPr>
          <w:rFonts w:ascii="Courier New" w:cs="Courier New" w:eastAsia="Courier New" w:hAnsi="Courier New"/>
          <w:color w:val="1F4E5F"/>
        </w:rPr>
        <w:t xml:space="preserve">configs/publication_foundry/e7.run.yaml</w:t>
      </w:r>
      <w:r>
        <w:t xml:space="preserve"> does not match the working input; therefore this candidate manifest is not a frozen publication bundle.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rPr>
        <w:t xml:space="preserve">scripts/build_paper_figures.py</w:t>
      </w:r>
      <w:r>
        <w:t xml:space="preserve">; they do not replace the canonical evidence artifacts.</w:t>
      </w:r>
    </w:p>
    <w:p>
      <w:pPr>
        <w:widowControl/>
        <w:spacing w:after="120" w:line="280"/>
      </w:pPr>
      <w:r>
        <w:t xml:space="preserve">The bundle is intentionally not frozen for submission. E3 pre-execution authority and post-execution artifact attestation were cryptographically verified for the hash-bound signed revision, but real-world evaluator identity, independence, expertise, and private-key custody still require accountable out-of-band confirmation.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[12]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f5d9b658656844972da50957dddd3da214977420.png"/><Relationship Id="rId15" Type="http://schemas.openxmlformats.org/officeDocument/2006/relationships/image" Target="media/52fdcadadc33b76ea86f8f0d66210def1422f80c.png"/><Relationship Id="rId16" Type="http://schemas.openxmlformats.org/officeDocument/2006/relationships/image" Target="media/a40f7c5a142ddc9bb945243d4f16338422ed6ab3.png"/><Relationship Id="rId17" Type="http://schemas.openxmlformats.org/officeDocument/2006/relationships/image" Target="media/015e8b7271405585cad7edef6664df9cc1b99f15.png"/><Relationship Id="rId18" Type="http://schemas.openxmlformats.org/officeDocument/2006/relationships/image" Target="media/091c4acd50c612484a729e753eabdda1b0770c17.png"/><Relationship Id="rId19" Type="http://schemas.openxmlformats.org/officeDocument/2006/relationships/image" Target="media/e22059e8294ceb3c59eebaeca766f125428ac5e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85c83c54f95f7f0b6cb58602dcdffa674b3ec2b6d251f85d23bceb31be44e9c0</dc:description>
  <cp:lastModifiedBy>Un-named</cp:lastModifiedBy>
  <cp:revision>1</cp:revision>
  <dcterms:created xsi:type="dcterms:W3CDTF">2026-08-25T00:32:39.371Z</dcterms:created>
  <dcterms:modified xsi:type="dcterms:W3CDTF">2026-08-25T00:32:39.371Z</dcterms:modified>
</cp:coreProperties>
</file>

<file path=docProps/custom.xml><?xml version="1.0" encoding="utf-8"?>
<Properties xmlns="http://schemas.openxmlformats.org/officeDocument/2006/custom-properties" xmlns:vt="http://schemas.openxmlformats.org/officeDocument/2006/docPropsVTypes"/>
</file>