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Arial" w:cs="Arial" w:eastAsia="Arial" w:hAnsi="Arial"/>
          <w:b/>
          <w:bCs/>
          <w:color w:val="173B4A"/>
          <w:sz w:val="42"/>
          <w:szCs w:val="42"/>
        </w:rPr>
        <w:t xml:space="preserve">Proof of Intelligence Consensus Architecture</w:t>
      </w:r>
    </w:p>
    <w:p>
      <w:pPr>
        <w:spacing w:after="600"/>
        <w:jc w:val="center"/>
      </w:pPr>
      <w:r>
        <w:rPr>
          <w:rFonts w:ascii="Arial" w:cs="Arial" w:eastAsia="Arial" w:hAnsi="Arial"/>
          <w:color w:val="4F7180"/>
          <w:sz w:val="26"/>
          <w:szCs w:val="26"/>
        </w:rPr>
        <w:t xml:space="preserve">Evidence-bound Minimum Publishable Prototype draft</w:t>
      </w:r>
    </w:p>
    <w:p>
      <w:pPr>
        <w:pBdr>
          <w:top w:val="single" w:color="D6B656" w:sz="6"/>
          <w:bottom w:val="single" w:color="D6B656" w:sz="6"/>
          <w:left w:val="single" w:color="D6B656" w:sz="6"/>
          <w:right w:val="single" w:color="D6B656" w:sz="6"/>
        </w:pBdr>
        <w:shd w:fill="FFF2CC" w:val="clear"/>
        <w:spacing w:after="240" w:before="240"/>
        <w:jc w:val="center"/>
      </w:pPr>
      <w:r>
        <w:rPr>
          <w:b/>
          <w:bCs/>
          <w:color w:val="7F6000"/>
          <w:sz w:val="22"/>
          <w:szCs w:val="22"/>
        </w:rPr>
        <w:t xml:space="preserve">NOT PUBLICATION-READY: E3 external evaluator authority, authenticated independent manual review, and the freeze sentinel remain open.</w:t>
      </w:r>
    </w:p>
    <w:p>
      <w:pPr>
        <w:spacing w:after="120" w:before="600"/>
        <w:jc w:val="center"/>
      </w:pPr>
      <w:r>
        <w:rPr>
          <w:b/>
          <w:bCs/>
          <w:sz w:val="20"/>
          <w:szCs w:val="20"/>
        </w:rPr>
        <w:t xml:space="preserve">Canonical report manifest SHA-256</w:t>
      </w:r>
    </w:p>
    <w:p>
      <w:pPr>
        <w:jc w:val="center"/>
      </w:pPr>
      <w:r>
        <w:rPr>
          <w:rFonts w:ascii="Courier New" w:cs="Courier New" w:eastAsia="Courier New" w:hAnsi="Courier New"/>
          <w:color w:val="1F4E5F"/>
          <w:sz w:val="17"/>
          <w:szCs w:val="17"/>
        </w:rPr>
        <w:t xml:space="preserve">9c5d914d4a1eca35589bacf0a889da86adef7027a17d19612ce8ef2b49525bad</w:t>
      </w:r>
    </w:p>
    <w:p>
      <w:r>
        <w:br w:type="page"/>
      </w:r>
    </w:p>
    <w:p>
      <w:pPr>
        <w:pStyle w:val="Title"/>
        <w:keepNext/>
      </w:pPr>
      <w:r>
        <w:t xml:space="preserve">Complete Proof of Intelligence Consensus Architecture</w:t>
      </w:r>
    </w:p>
    <w:p>
      <w:pPr>
        <w:pStyle w:val="Heading1"/>
        <w:keepNext/>
      </w:pPr>
      <w:r>
        <w:t xml:space="preserve">A Single-Pass, Optimistic, EVM-Compatible Protocol for Verifiable AI Responses, with a Narrow Publication-Artifact MPP</w:t>
      </w:r>
    </w:p>
    <w:p>
      <w:pPr>
        <w:pStyle w:val="Heading1"/>
        <w:keepNext/>
      </w:pPr>
      <w:r>
        <w:t xml:space="preserve">Abstract</w:t>
      </w:r>
    </w:p>
    <w:p>
      <w:pPr>
        <w:widowControl/>
        <w:spacing w:after="120" w:line="280"/>
      </w:pPr>
      <w:r>
        <w:t xml:space="preserve">Proof of Intelligence (PoI) should not require a second full frontier-model execution for every accepted response, and it should not require a full zero-knowledge proof of the common path for every response. This manuscript presents a complete protocol architecture in which a single model execution yields a user-visible answer together with committed execution and semantic audit surfaces. After commitment finality, post-commit randomness selects audit obligations, and only successfully matured receipts may contribute to next-epoch protocol weight. The full architecture covers commitment, audit compilation, optimistic dispute, data-availability retention, bounded task credit, and EVM-compatible receipt and credit management.</w:t>
      </w:r>
    </w:p>
    <w:p>
      <w:pPr>
        <w:widowControl/>
        <w:spacing w:after="120" w:line="280"/>
      </w:pPr>
      <w:r>
        <w:t xml:space="preserve">This manuscript also reports the current state of a deliberately narrow Minimum Publishable Prototype (MPP). The approved first-publication MPP is limited to 1B-8B open-weight models, a local EVM/Foundry environment, and canonical artifacts for experiments E1-E8. It explicitly excludes 70B and larger validation, mixture-of-experts execution, confidential GPU/TEE execution, a production dispute VM, production decentralized data availability, and a production consensus client. The canonical manifest (SHA-256 </w:t>
      </w:r>
      <w:r>
        <w:rPr>
          <w:rFonts w:ascii="Courier New" w:cs="Courier New" w:eastAsia="Courier New" w:hAnsi="Courier New"/>
          <w:color w:val="1F4E5F"/>
          <w:shd w:fill="E9F2F4" w:val="clear"/>
        </w:rPr>
        <w:t xml:space="preserve">9c5d914d4a1eca35589bacf0a889da86adef7027a17d19612ce8ef2b49525bad</w:t>
      </w:r>
      <w:r>
        <w:t xml:space="preserve">) records </w:t>
      </w:r>
      <w:r>
        <w:rPr>
          <w:rFonts w:ascii="Courier New" w:cs="Courier New" w:eastAsia="Courier New" w:hAnsi="Courier New"/>
          <w:color w:val="1F4E5F"/>
          <w:shd w:fill="E9F2F4" w:val="clear"/>
        </w:rPr>
        <w:t xml:space="preserve">INCONCLUSIVE</w:t>
      </w:r>
      <w:r>
        <w:t xml:space="preserve"> E1, E2, E4, and E8 results; </w:t>
      </w:r>
      <w:r>
        <w:rPr>
          <w:rFonts w:ascii="Courier New" w:cs="Courier New" w:eastAsia="Courier New" w:hAnsi="Courier New"/>
          <w:color w:val="1F4E5F"/>
          <w:shd w:fill="E9F2F4" w:val="clear"/>
        </w:rPr>
        <w:t xml:space="preserve">SUPPORTED</w:t>
      </w:r>
      <w:r>
        <w:t xml:space="preserve"> E5-E7 results within their declared simulation or local-Foundry boundaries; and </w:t>
      </w:r>
      <w:r>
        <w:rPr>
          <w:rFonts w:ascii="Courier New" w:cs="Courier New" w:eastAsia="Courier New" w:hAnsi="Courier New"/>
          <w:color w:val="1F4E5F"/>
          <w:shd w:fill="E9F2F4" w:val="clear"/>
        </w:rPr>
        <w:t xml:space="preserve">WAITING_EXTERNAL</w:t>
      </w:r>
      <w:r>
        <w:t xml:space="preserve"> E3 artifacts. The package is not publication-ready because external evaluator authority, authenticated independent manual review, and the publication-freeze sentinel remain unresolved. The manuscript therefore separates the proposed full architecture from the implemented MPP, and separates implemented software from measured evidence.</w:t>
      </w:r>
    </w:p>
    <w:p>
      <w:pPr>
        <w:pStyle w:val="Heading1"/>
        <w:keepNext/>
      </w:pPr>
      <w:r>
        <w:t xml:space="preserve">Evidence and status box</w:t>
      </w:r>
    </w:p>
    <w:p>
      <w:pPr>
        <w:widowControl/>
        <w:spacing w:after="120" w:line="280"/>
      </w:pPr>
      <w:r>
        <w:t xml:space="preserve">Canonical publication-artifact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rPr>
          <w:cantSplit/>
          <w:tblHeader/>
        </w:trPr>
        <w:tc>
          <w:tcPr>
            <w:tcW w:type="pct" w:w="50%"/>
            <w:shd w:fill="D9EAF0" w:val="clear"/>
            <w:tcMar>
              <w:top w:type="dxa" w:w="80"/>
              <w:left w:type="dxa" w:w="90"/>
              <w:bottom w:type="dxa" w:w="80"/>
              <w:right w:type="dxa" w:w="90"/>
            </w:tcMar>
          </w:tcPr>
          <w:p>
            <w:pPr>
              <w:spacing w:after="0"/>
            </w:pPr>
            <w:r>
              <w:rPr>
                <w:b/>
                <w:bCs/>
                <w:sz w:val="18"/>
                <w:szCs w:val="18"/>
              </w:rPr>
              <w:t xml:space="preserve">Item</w:t>
            </w:r>
          </w:p>
        </w:tc>
        <w:tc>
          <w:tcPr>
            <w:tcW w:type="pct" w:w="50%"/>
            <w:shd w:fill="D9EAF0" w:val="clear"/>
            <w:tcMar>
              <w:top w:type="dxa" w:w="80"/>
              <w:left w:type="dxa" w:w="90"/>
              <w:bottom w:type="dxa" w:w="80"/>
              <w:right w:type="dxa" w:w="90"/>
            </w:tcMar>
          </w:tcPr>
          <w:p>
            <w:pPr>
              <w:spacing w:after="0"/>
            </w:pPr>
            <w:r>
              <w:rPr>
                <w:b/>
                <w:bCs/>
                <w:sz w:val="18"/>
                <w:szCs w:val="18"/>
              </w:rPr>
              <w:t xml:space="preserve">Current status</w:t>
            </w:r>
          </w:p>
        </w:tc>
      </w:tr>
      <w:tr>
        <w:trPr>
          <w:cantSplit/>
          <w:tblHeader w:val="false"/>
        </w:trPr>
        <w:tc>
          <w:tcPr>
            <w:tcW w:type="pct" w:w="50%"/>
            <w:tcMar>
              <w:top w:type="dxa" w:w="80"/>
              <w:left w:type="dxa" w:w="90"/>
              <w:bottom w:type="dxa" w:w="80"/>
              <w:right w:type="dxa" w:w="90"/>
            </w:tcMar>
          </w:tcPr>
          <w:p>
            <w:pPr>
              <w:spacing w:after="0"/>
            </w:pPr>
            <w:r>
              <w:rPr>
                <w:b w:val="false"/>
                <w:bCs w:val="false"/>
                <w:sz w:val="18"/>
                <w:szCs w:val="18"/>
              </w:rPr>
              <w:t xml:space="preserve">Canonical manifest</w:t>
            </w:r>
          </w:p>
        </w:tc>
        <w:tc>
          <w:tcPr>
            <w:tcW w:type="pct" w:w="50%"/>
            <w:tcMar>
              <w:top w:type="dxa" w:w="80"/>
              <w:left w:type="dxa" w:w="90"/>
              <w:bottom w:type="dxa" w:w="80"/>
              <w:right w:type="dxa" w:w="90"/>
            </w:tcMar>
          </w:tcPr>
          <w:p>
            <w:pPr>
              <w:spacing w:after="0"/>
            </w:pPr>
            <w:r>
              <w:rPr>
                <w:rFonts w:ascii="Courier New" w:cs="Courier New" w:eastAsia="Courier New" w:hAnsi="Courier New"/>
                <w:b w:val="false"/>
                <w:bCs w:val="false"/>
                <w:color w:val="1F4E5F"/>
                <w:sz w:val="18"/>
                <w:szCs w:val="18"/>
                <w:shd w:fill="E9F2F4" w:val="clear"/>
              </w:rPr>
              <w:t xml:space="preserve">publication/artifact_manifest.json</w:t>
            </w:r>
            <w:r>
              <w:rPr>
                <w:b w:val="false"/>
                <w:bCs w:val="false"/>
                <w:sz w:val="18"/>
                <w:szCs w:val="18"/>
              </w:rPr>
              <w:t xml:space="preserve">, SHA-256 </w:t>
            </w:r>
            <w:r>
              <w:rPr>
                <w:rFonts w:ascii="Courier New" w:cs="Courier New" w:eastAsia="Courier New" w:hAnsi="Courier New"/>
                <w:b w:val="false"/>
                <w:bCs w:val="false"/>
                <w:color w:val="1F4E5F"/>
                <w:sz w:val="18"/>
                <w:szCs w:val="18"/>
                <w:shd w:fill="E9F2F4" w:val="clear"/>
              </w:rPr>
              <w:t xml:space="preserve">9c5d914d4a1eca35589bacf0a889da86adef7027a17d19612ce8ef2b49525bad</w:t>
            </w:r>
          </w:p>
        </w:tc>
      </w:tr>
      <w:tr>
        <w:trPr>
          <w:cantSplit/>
          <w:tblHeader w:val="false"/>
        </w:trPr>
        <w:tc>
          <w:tcPr>
            <w:tcW w:type="pct" w:w="50%"/>
            <w:shd w:fill="F4F7F8" w:val="clear"/>
            <w:tcMar>
              <w:top w:type="dxa" w:w="80"/>
              <w:left w:type="dxa" w:w="90"/>
              <w:bottom w:type="dxa" w:w="80"/>
              <w:right w:type="dxa" w:w="90"/>
            </w:tcMar>
          </w:tcPr>
          <w:p>
            <w:pPr>
              <w:spacing w:after="0"/>
            </w:pPr>
            <w:r>
              <w:rPr>
                <w:b w:val="false"/>
                <w:bCs w:val="false"/>
                <w:sz w:val="18"/>
                <w:szCs w:val="18"/>
              </w:rPr>
              <w:t xml:space="preserve">E1 / C1</w:t>
            </w:r>
          </w:p>
        </w:tc>
        <w:tc>
          <w:tcPr>
            <w:tcW w:type="pct" w:w="50%"/>
            <w:shd w:fill="F4F7F8" w:val="clear"/>
            <w:tcMar>
              <w:top w:type="dxa" w:w="80"/>
              <w:left w:type="dxa" w:w="90"/>
              <w:bottom w:type="dxa" w:w="80"/>
              <w:right w:type="dxa" w:w="90"/>
            </w:tcMar>
          </w:tcPr>
          <w:p>
            <w:pPr>
              <w:spacing w:after="0"/>
            </w:pPr>
            <w:r>
              <w:rPr>
                <w:rFonts w:ascii="Courier New" w:cs="Courier New" w:eastAsia="Courier New" w:hAnsi="Courier New"/>
                <w:b w:val="false"/>
                <w:bCs w:val="false"/>
                <w:color w:val="1F4E5F"/>
                <w:sz w:val="18"/>
                <w:szCs w:val="18"/>
                <w:shd w:fill="E9F2F4" w:val="clear"/>
              </w:rPr>
              <w:t xml:space="preserve">INCONCLUSIVE</w:t>
            </w:r>
            <w:r>
              <w:rPr>
                <w:b w:val="false"/>
                <w:bCs w:val="false"/>
                <w:sz w:val="18"/>
                <w:szCs w:val="18"/>
              </w:rPr>
              <w:t xml:space="preserve"> real-model fixed-order pilot (T6, F5)</w:t>
            </w:r>
          </w:p>
        </w:tc>
      </w:tr>
      <w:tr>
        <w:trPr>
          <w:cantSplit/>
          <w:tblHeader w:val="false"/>
        </w:trPr>
        <w:tc>
          <w:tcPr>
            <w:tcW w:type="pct" w:w="50%"/>
            <w:tcMar>
              <w:top w:type="dxa" w:w="80"/>
              <w:left w:type="dxa" w:w="90"/>
              <w:bottom w:type="dxa" w:w="80"/>
              <w:right w:type="dxa" w:w="90"/>
            </w:tcMar>
          </w:tcPr>
          <w:p>
            <w:pPr>
              <w:spacing w:after="0"/>
            </w:pPr>
            <w:r>
              <w:rPr>
                <w:b w:val="false"/>
                <w:bCs w:val="false"/>
                <w:sz w:val="18"/>
                <w:szCs w:val="18"/>
              </w:rPr>
              <w:t xml:space="preserve">E2 / C2</w:t>
            </w:r>
          </w:p>
        </w:tc>
        <w:tc>
          <w:tcPr>
            <w:tcW w:type="pct" w:w="50%"/>
            <w:tcMar>
              <w:top w:type="dxa" w:w="80"/>
              <w:left w:type="dxa" w:w="90"/>
              <w:bottom w:type="dxa" w:w="80"/>
              <w:right w:type="dxa" w:w="90"/>
            </w:tcMar>
          </w:tcPr>
          <w:p>
            <w:pPr>
              <w:spacing w:after="0"/>
            </w:pPr>
            <w:r>
              <w:rPr>
                <w:rFonts w:ascii="Courier New" w:cs="Courier New" w:eastAsia="Courier New" w:hAnsi="Courier New"/>
                <w:b w:val="false"/>
                <w:bCs w:val="false"/>
                <w:color w:val="1F4E5F"/>
                <w:sz w:val="18"/>
                <w:szCs w:val="18"/>
                <w:shd w:fill="E9F2F4" w:val="clear"/>
              </w:rPr>
              <w:t xml:space="preserve">INCONCLUSIVE</w:t>
            </w:r>
            <w:r>
              <w:rPr>
                <w:b w:val="false"/>
                <w:bCs w:val="false"/>
                <w:sz w:val="18"/>
                <w:szCs w:val="18"/>
              </w:rPr>
              <w:t xml:space="preserve"> narrow real-model pilot (T7, F6)</w:t>
            </w:r>
          </w:p>
        </w:tc>
      </w:tr>
      <w:tr>
        <w:trPr>
          <w:cantSplit/>
          <w:tblHeader w:val="false"/>
        </w:trPr>
        <w:tc>
          <w:tcPr>
            <w:tcW w:type="pct" w:w="50%"/>
            <w:shd w:fill="F4F7F8" w:val="clear"/>
            <w:tcMar>
              <w:top w:type="dxa" w:w="80"/>
              <w:left w:type="dxa" w:w="90"/>
              <w:bottom w:type="dxa" w:w="80"/>
              <w:right w:type="dxa" w:w="90"/>
            </w:tcMar>
          </w:tcPr>
          <w:p>
            <w:pPr>
              <w:spacing w:after="0"/>
            </w:pPr>
            <w:r>
              <w:rPr>
                <w:b w:val="false"/>
                <w:bCs w:val="false"/>
                <w:sz w:val="18"/>
                <w:szCs w:val="18"/>
              </w:rPr>
              <w:t xml:space="preserve">E3 / C3</w:t>
            </w:r>
          </w:p>
        </w:tc>
        <w:tc>
          <w:tcPr>
            <w:tcW w:type="pct" w:w="50%"/>
            <w:shd w:fill="F4F7F8" w:val="clear"/>
            <w:tcMar>
              <w:top w:type="dxa" w:w="80"/>
              <w:left w:type="dxa" w:w="90"/>
              <w:bottom w:type="dxa" w:w="80"/>
              <w:right w:type="dxa" w:w="90"/>
            </w:tcMar>
          </w:tcPr>
          <w:p>
            <w:pPr>
              <w:spacing w:after="0"/>
            </w:pPr>
            <w:r>
              <w:rPr>
                <w:rFonts w:ascii="Courier New" w:cs="Courier New" w:eastAsia="Courier New" w:hAnsi="Courier New"/>
                <w:b w:val="false"/>
                <w:bCs w:val="false"/>
                <w:color w:val="1F4E5F"/>
                <w:sz w:val="18"/>
                <w:szCs w:val="18"/>
                <w:shd w:fill="E9F2F4" w:val="clear"/>
              </w:rPr>
              <w:t xml:space="preserve">WAITING_EXTERNAL</w:t>
            </w:r>
            <w:r>
              <w:rPr>
                <w:b w:val="false"/>
                <w:bCs w:val="false"/>
                <w:sz w:val="18"/>
                <w:szCs w:val="18"/>
              </w:rPr>
              <w:t xml:space="preserve">; T4, T8, and F7 have no evidence</w:t>
            </w:r>
          </w:p>
        </w:tc>
      </w:tr>
      <w:tr>
        <w:trPr>
          <w:cantSplit/>
          <w:tblHeader w:val="false"/>
        </w:trPr>
        <w:tc>
          <w:tcPr>
            <w:tcW w:type="pct" w:w="50%"/>
            <w:tcMar>
              <w:top w:type="dxa" w:w="80"/>
              <w:left w:type="dxa" w:w="90"/>
              <w:bottom w:type="dxa" w:w="80"/>
              <w:right w:type="dxa" w:w="90"/>
            </w:tcMar>
          </w:tcPr>
          <w:p>
            <w:pPr>
              <w:spacing w:after="0"/>
            </w:pPr>
            <w:r>
              <w:rPr>
                <w:b w:val="false"/>
                <w:bCs w:val="false"/>
                <w:sz w:val="18"/>
                <w:szCs w:val="18"/>
              </w:rPr>
              <w:t xml:space="preserve">E4 / C4</w:t>
            </w:r>
          </w:p>
        </w:tc>
        <w:tc>
          <w:tcPr>
            <w:tcW w:type="pct" w:w="50%"/>
            <w:tcMar>
              <w:top w:type="dxa" w:w="80"/>
              <w:left w:type="dxa" w:w="90"/>
              <w:bottom w:type="dxa" w:w="80"/>
              <w:right w:type="dxa" w:w="90"/>
            </w:tcMar>
          </w:tcPr>
          <w:p>
            <w:pPr>
              <w:spacing w:after="0"/>
            </w:pPr>
            <w:r>
              <w:rPr>
                <w:rFonts w:ascii="Courier New" w:cs="Courier New" w:eastAsia="Courier New" w:hAnsi="Courier New"/>
                <w:b w:val="false"/>
                <w:bCs w:val="false"/>
                <w:color w:val="1F4E5F"/>
                <w:sz w:val="18"/>
                <w:szCs w:val="18"/>
                <w:shd w:fill="E9F2F4" w:val="clear"/>
              </w:rPr>
              <w:t xml:space="preserve">INCONCLUSIVE</w:t>
            </w:r>
            <w:r>
              <w:rPr>
                <w:b w:val="false"/>
                <w:bCs w:val="false"/>
                <w:sz w:val="18"/>
                <w:szCs w:val="18"/>
              </w:rPr>
              <w:t xml:space="preserve"> declared playback simulation (T9, F8)</w:t>
            </w:r>
          </w:p>
        </w:tc>
      </w:tr>
      <w:tr>
        <w:trPr>
          <w:cantSplit/>
          <w:tblHeader w:val="false"/>
        </w:trPr>
        <w:tc>
          <w:tcPr>
            <w:tcW w:type="pct" w:w="50%"/>
            <w:shd w:fill="F4F7F8" w:val="clear"/>
            <w:tcMar>
              <w:top w:type="dxa" w:w="80"/>
              <w:left w:type="dxa" w:w="90"/>
              <w:bottom w:type="dxa" w:w="80"/>
              <w:right w:type="dxa" w:w="90"/>
            </w:tcMar>
          </w:tcPr>
          <w:p>
            <w:pPr>
              <w:spacing w:after="0"/>
            </w:pPr>
            <w:r>
              <w:rPr>
                <w:b w:val="false"/>
                <w:bCs w:val="false"/>
                <w:sz w:val="18"/>
                <w:szCs w:val="18"/>
              </w:rPr>
              <w:t xml:space="preserve">E5 / C5</w:t>
            </w:r>
          </w:p>
        </w:tc>
        <w:tc>
          <w:tcPr>
            <w:tcW w:type="pct" w:w="50%"/>
            <w:shd w:fill="F4F7F8" w:val="clear"/>
            <w:tcMar>
              <w:top w:type="dxa" w:w="80"/>
              <w:left w:type="dxa" w:w="90"/>
              <w:bottom w:type="dxa" w:w="80"/>
              <w:right w:type="dxa" w:w="90"/>
            </w:tcMar>
          </w:tcPr>
          <w:p>
            <w:pPr>
              <w:spacing w:after="0"/>
            </w:pPr>
            <w:r>
              <w:rPr>
                <w:rFonts w:ascii="Courier New" w:cs="Courier New" w:eastAsia="Courier New" w:hAnsi="Courier New"/>
                <w:b w:val="false"/>
                <w:bCs w:val="false"/>
                <w:color w:val="1F4E5F"/>
                <w:sz w:val="18"/>
                <w:szCs w:val="18"/>
                <w:shd w:fill="E9F2F4" w:val="clear"/>
              </w:rPr>
              <w:t xml:space="preserve">SUPPORTED</w:t>
            </w:r>
            <w:r>
              <w:rPr>
                <w:b w:val="false"/>
                <w:bCs w:val="false"/>
                <w:sz w:val="18"/>
                <w:szCs w:val="18"/>
              </w:rPr>
              <w:t xml:space="preserve"> declared reproducible simulation only (T10; no figure)</w:t>
            </w:r>
          </w:p>
        </w:tc>
      </w:tr>
      <w:tr>
        <w:trPr>
          <w:cantSplit/>
          <w:tblHeader w:val="false"/>
        </w:trPr>
        <w:tc>
          <w:tcPr>
            <w:tcW w:type="pct" w:w="50%"/>
            <w:tcMar>
              <w:top w:type="dxa" w:w="80"/>
              <w:left w:type="dxa" w:w="90"/>
              <w:bottom w:type="dxa" w:w="80"/>
              <w:right w:type="dxa" w:w="90"/>
            </w:tcMar>
          </w:tcPr>
          <w:p>
            <w:pPr>
              <w:spacing w:after="0"/>
            </w:pPr>
            <w:r>
              <w:rPr>
                <w:b w:val="false"/>
                <w:bCs w:val="false"/>
                <w:sz w:val="18"/>
                <w:szCs w:val="18"/>
              </w:rPr>
              <w:t xml:space="preserve">E6 / C6</w:t>
            </w:r>
          </w:p>
        </w:tc>
        <w:tc>
          <w:tcPr>
            <w:tcW w:type="pct" w:w="50%"/>
            <w:tcMar>
              <w:top w:type="dxa" w:w="80"/>
              <w:left w:type="dxa" w:w="90"/>
              <w:bottom w:type="dxa" w:w="80"/>
              <w:right w:type="dxa" w:w="90"/>
            </w:tcMar>
          </w:tcPr>
          <w:p>
            <w:pPr>
              <w:spacing w:after="0"/>
            </w:pPr>
            <w:r>
              <w:rPr>
                <w:rFonts w:ascii="Courier New" w:cs="Courier New" w:eastAsia="Courier New" w:hAnsi="Courier New"/>
                <w:b w:val="false"/>
                <w:bCs w:val="false"/>
                <w:color w:val="1F4E5F"/>
                <w:sz w:val="18"/>
                <w:szCs w:val="18"/>
                <w:shd w:fill="E9F2F4" w:val="clear"/>
              </w:rPr>
              <w:t xml:space="preserve">SUPPORTED</w:t>
            </w:r>
            <w:r>
              <w:rPr>
                <w:b w:val="false"/>
                <w:bCs w:val="false"/>
                <w:sz w:val="18"/>
                <w:szCs w:val="18"/>
              </w:rPr>
              <w:t xml:space="preserve"> declared reproducible simulation only (T11, F9, F10)</w:t>
            </w:r>
          </w:p>
        </w:tc>
      </w:tr>
      <w:tr>
        <w:trPr>
          <w:cantSplit/>
          <w:tblHeader w:val="false"/>
        </w:trPr>
        <w:tc>
          <w:tcPr>
            <w:tcW w:type="pct" w:w="50%"/>
            <w:shd w:fill="F4F7F8" w:val="clear"/>
            <w:tcMar>
              <w:top w:type="dxa" w:w="80"/>
              <w:left w:type="dxa" w:w="90"/>
              <w:bottom w:type="dxa" w:w="80"/>
              <w:right w:type="dxa" w:w="90"/>
            </w:tcMar>
          </w:tcPr>
          <w:p>
            <w:pPr>
              <w:spacing w:after="0"/>
            </w:pPr>
            <w:r>
              <w:rPr>
                <w:b w:val="false"/>
                <w:bCs w:val="false"/>
                <w:sz w:val="18"/>
                <w:szCs w:val="18"/>
              </w:rPr>
              <w:t xml:space="preserve">E7 / C7</w:t>
            </w:r>
          </w:p>
        </w:tc>
        <w:tc>
          <w:tcPr>
            <w:tcW w:type="pct" w:w="50%"/>
            <w:shd w:fill="F4F7F8" w:val="clear"/>
            <w:tcMar>
              <w:top w:type="dxa" w:w="80"/>
              <w:left w:type="dxa" w:w="90"/>
              <w:bottom w:type="dxa" w:w="80"/>
              <w:right w:type="dxa" w:w="90"/>
            </w:tcMar>
          </w:tcPr>
          <w:p>
            <w:pPr>
              <w:spacing w:after="0"/>
            </w:pPr>
            <w:r>
              <w:rPr>
                <w:rFonts w:ascii="Courier New" w:cs="Courier New" w:eastAsia="Courier New" w:hAnsi="Courier New"/>
                <w:b w:val="false"/>
                <w:bCs w:val="false"/>
                <w:color w:val="1F4E5F"/>
                <w:sz w:val="18"/>
                <w:szCs w:val="18"/>
                <w:shd w:fill="E9F2F4" w:val="clear"/>
              </w:rPr>
              <w:t xml:space="preserve">SUPPORTED</w:t>
            </w:r>
            <w:r>
              <w:rPr>
                <w:b w:val="false"/>
                <w:bCs w:val="false"/>
                <w:sz w:val="18"/>
                <w:szCs w:val="18"/>
              </w:rPr>
              <w:t xml:space="preserve"> local Foundry measurement (T12, F12)</w:t>
            </w:r>
          </w:p>
        </w:tc>
      </w:tr>
      <w:tr>
        <w:trPr>
          <w:cantSplit/>
          <w:tblHeader w:val="false"/>
        </w:trPr>
        <w:tc>
          <w:tcPr>
            <w:tcW w:type="pct" w:w="50%"/>
            <w:tcMar>
              <w:top w:type="dxa" w:w="80"/>
              <w:left w:type="dxa" w:w="90"/>
              <w:bottom w:type="dxa" w:w="80"/>
              <w:right w:type="dxa" w:w="90"/>
            </w:tcMar>
          </w:tcPr>
          <w:p>
            <w:pPr>
              <w:spacing w:after="0"/>
            </w:pPr>
            <w:r>
              <w:rPr>
                <w:b w:val="false"/>
                <w:bCs w:val="false"/>
                <w:sz w:val="18"/>
                <w:szCs w:val="18"/>
              </w:rPr>
              <w:t xml:space="preserve">E8 / C8</w:t>
            </w:r>
          </w:p>
        </w:tc>
        <w:tc>
          <w:tcPr>
            <w:tcW w:type="pct" w:w="50%"/>
            <w:tcMar>
              <w:top w:type="dxa" w:w="80"/>
              <w:left w:type="dxa" w:w="90"/>
              <w:bottom w:type="dxa" w:w="80"/>
              <w:right w:type="dxa" w:w="90"/>
            </w:tcMar>
          </w:tcPr>
          <w:p>
            <w:pPr>
              <w:spacing w:after="0"/>
            </w:pPr>
            <w:r>
              <w:rPr>
                <w:rFonts w:ascii="Courier New" w:cs="Courier New" w:eastAsia="Courier New" w:hAnsi="Courier New"/>
                <w:b w:val="false"/>
                <w:bCs w:val="false"/>
                <w:color w:val="1F4E5F"/>
                <w:sz w:val="18"/>
                <w:szCs w:val="18"/>
                <w:shd w:fill="E9F2F4" w:val="clear"/>
              </w:rPr>
              <w:t xml:space="preserve">INCONCLUSIVE</w:t>
            </w:r>
            <w:r>
              <w:rPr>
                <w:b w:val="false"/>
                <w:bCs w:val="false"/>
                <w:sz w:val="18"/>
                <w:szCs w:val="18"/>
              </w:rPr>
              <w:t xml:space="preserve"> reproducible simulation (T13, F11)</w:t>
            </w:r>
          </w:p>
        </w:tc>
      </w:tr>
      <w:tr>
        <w:trPr>
          <w:cantSplit/>
          <w:tblHeader w:val="false"/>
        </w:trPr>
        <w:tc>
          <w:tcPr>
            <w:tcW w:type="pct" w:w="50%"/>
            <w:shd w:fill="F4F7F8" w:val="clear"/>
            <w:tcMar>
              <w:top w:type="dxa" w:w="80"/>
              <w:left w:type="dxa" w:w="90"/>
              <w:bottom w:type="dxa" w:w="80"/>
              <w:right w:type="dxa" w:w="90"/>
            </w:tcMar>
          </w:tcPr>
          <w:p>
            <w:pPr>
              <w:spacing w:after="0"/>
            </w:pPr>
            <w:r>
              <w:rPr>
                <w:b w:val="false"/>
                <w:bCs w:val="false"/>
                <w:sz w:val="18"/>
                <w:szCs w:val="18"/>
              </w:rPr>
              <w:t xml:space="preserve">Publication readiness</w:t>
            </w:r>
          </w:p>
        </w:tc>
        <w:tc>
          <w:tcPr>
            <w:tcW w:type="pct" w:w="50%"/>
            <w:shd w:fill="F4F7F8" w:val="clear"/>
            <w:tcMar>
              <w:top w:type="dxa" w:w="80"/>
              <w:left w:type="dxa" w:w="90"/>
              <w:bottom w:type="dxa" w:w="80"/>
              <w:right w:type="dxa" w:w="90"/>
            </w:tcMar>
          </w:tcPr>
          <w:p>
            <w:pPr>
              <w:spacing w:after="0"/>
            </w:pPr>
            <w:r>
              <w:rPr>
                <w:rFonts w:ascii="Courier New" w:cs="Courier New" w:eastAsia="Courier New" w:hAnsi="Courier New"/>
                <w:b w:val="false"/>
                <w:bCs w:val="false"/>
                <w:color w:val="1F4E5F"/>
                <w:sz w:val="18"/>
                <w:szCs w:val="18"/>
                <w:shd w:fill="E9F2F4" w:val="clear"/>
              </w:rPr>
              <w:t xml:space="preserve">NOT_PUBLICATION_READY</w:t>
            </w:r>
          </w:p>
        </w:tc>
      </w:tr>
      <w:tr>
        <w:trPr>
          <w:cantSplit/>
          <w:tblHeader w:val="false"/>
        </w:trPr>
        <w:tc>
          <w:tcPr>
            <w:tcW w:type="pct" w:w="50%"/>
            <w:tcMar>
              <w:top w:type="dxa" w:w="80"/>
              <w:left w:type="dxa" w:w="90"/>
              <w:bottom w:type="dxa" w:w="80"/>
              <w:right w:type="dxa" w:w="90"/>
            </w:tcMar>
          </w:tcPr>
          <w:p>
            <w:pPr>
              <w:spacing w:after="0"/>
            </w:pPr>
            <w:r>
              <w:rPr>
                <w:b w:val="false"/>
                <w:bCs w:val="false"/>
                <w:sz w:val="18"/>
                <w:szCs w:val="18"/>
              </w:rPr>
              <w:t xml:space="preserve">Blocking gates</w:t>
            </w:r>
          </w:p>
        </w:tc>
        <w:tc>
          <w:tcPr>
            <w:tcW w:type="pct" w:w="50%"/>
            <w:tcMar>
              <w:top w:type="dxa" w:w="80"/>
              <w:left w:type="dxa" w:w="90"/>
              <w:bottom w:type="dxa" w:w="80"/>
              <w:right w:type="dxa" w:w="90"/>
            </w:tcMar>
          </w:tcPr>
          <w:p>
            <w:pPr>
              <w:spacing w:after="0"/>
            </w:pPr>
            <w:r>
              <w:rPr>
                <w:b w:val="false"/>
                <w:bCs w:val="false"/>
                <w:sz w:val="18"/>
                <w:szCs w:val="18"/>
              </w:rPr>
              <w:t xml:space="preserve">External evaluator authority for E3; authenticated independent manual review; absent publication-freeze sentinel</w:t>
            </w:r>
          </w:p>
        </w:tc>
      </w:tr>
    </w:tbl>
    <w:p>
      <w:pPr>
        <w:spacing w:after="80"/>
      </w:pPr>
    </w:p>
    <w:p>
      <w:pPr>
        <w:widowControl/>
        <w:spacing w:after="120" w:line="280"/>
      </w:pPr>
      <w:r>
        <w:t xml:space="preserve">This box is descriptive, not a score. A canonical artifact bundle exists, but its existence does not close the three blocking gates or authorize submission. AI work, AI approval, and user approval are not independent review.</w:t>
      </w:r>
    </w:p>
    <w:p>
      <w:pPr>
        <w:pStyle w:val="Heading1"/>
        <w:keepNext/>
      </w:pPr>
      <w:r>
        <w:t xml:space="preserve">1. Introduction</w:t>
      </w:r>
    </w:p>
    <w:p>
      <w:pPr>
        <w:widowControl/>
        <w:spacing w:after="120" w:line="280"/>
      </w:pPr>
      <w:r>
        <w:t xml:space="preserve">The expensive part of modern AI serving is the model execution itself. A PoI system that requires a second large-model generation for every accepted response, or a full proof of all tensor operations for the common path, inherits an immediate structural cost barrier. The systems question addressed here is whether useful AI responses can be made auditable without paying either of those costs on the normal path.</w:t>
      </w:r>
    </w:p>
    <w:p>
      <w:pPr>
        <w:widowControl/>
        <w:spacing w:after="120" w:line="280"/>
      </w:pPr>
      <w:r>
        <w:t xml:space="preserve">The proposed answer is Single-Pass Auditable Intelligence (SPAI): one committed response, one model execution, one set of committed execution and semantic audit surfaces, one post-commit randomized audit process, and one maturity rule that converts only successfully audited events into bounded protocol authority. The architectural goal is not to claim novelty for optimistic fraud proofs, algebraic matrix checks, remote attestation, data-availability sampling, or weighted Byzantine fault tolerance in isolation. The architectural claim is narrower: these components can be composed into a complete PoI path that avoids two common-path cost barriers while preserving explicit failure states and assurance tiers.</w:t>
      </w:r>
    </w:p>
    <w:p>
      <w:pPr>
        <w:widowControl/>
        <w:spacing w:after="120" w:line="280"/>
      </w:pPr>
      <w:r>
        <w:t xml:space="preserve">This manuscript must be read in two distinct layers:</w:t>
      </w:r>
    </w:p>
    <w:p>
      <w:pPr>
        <w:spacing w:after="60"/>
        <w:ind w:left="420" w:hanging="220"/>
      </w:pPr>
      <w:r>
        <w:rPr>
          <w:b/>
          <w:bCs/>
        </w:rPr>
        <w:t xml:space="preserve">1.	</w:t>
      </w:r>
      <w:r>
        <w:t xml:space="preserve">the full protocol architecture proposed by the paper; and</w:t>
      </w:r>
    </w:p>
    <w:p>
      <w:pPr>
        <w:spacing w:after="60"/>
        <w:ind w:left="420" w:hanging="220"/>
      </w:pPr>
      <w:r>
        <w:rPr>
          <w:b/>
          <w:bCs/>
        </w:rPr>
        <w:t xml:space="preserve">2.	</w:t>
      </w:r>
      <w:r>
        <w:t xml:space="preserve">the current repository-backed MPP, which implements a narrower, evidence-gated subset for publication artifacts.</w:t>
      </w:r>
    </w:p>
    <w:p>
      <w:pPr>
        <w:widowControl/>
        <w:spacing w:after="120" w:line="280"/>
      </w:pPr>
      <w:r>
        <w:t xml:space="preserve">That separation is necessary because the architecture is broader than the current evidence package, and the repository intentionally refuses to promote missing, simulated, synthetic, or externally blocked surfaces into completed empirical claims.</w:t>
      </w:r>
    </w:p>
    <w:p>
      <w:pPr>
        <w:pStyle w:val="Heading1"/>
        <w:keepNext/>
      </w:pPr>
      <w:r>
        <w:t xml:space="preserve">2. Scope and contribution boundary</w:t>
      </w:r>
    </w:p>
    <w:p>
      <w:pPr>
        <w:pStyle w:val="Heading2"/>
        <w:keepNext/>
      </w:pPr>
      <w:r>
        <w:t xml:space="preserve">2.1 Proposed full architecture</w:t>
      </w:r>
    </w:p>
    <w:p>
      <w:pPr>
        <w:widowControl/>
        <w:spacing w:after="120" w:line="280"/>
      </w:pPr>
      <w:r>
        <w:t xml:space="preserve">The proposed full architecture includes:</w:t>
      </w:r>
    </w:p>
    <w:p>
      <w:pPr>
        <w:pStyle w:val="ListParagraph"/>
        <w:numPr>
          <w:ilvl w:val="0"/>
          <w:numId w:val="1"/>
        </w:numPr>
        <w:spacing w:after="60"/>
      </w:pPr>
      <w:r>
        <w:t xml:space="preserve">one-pass AI execution with post-commit audits;</w:t>
      </w:r>
    </w:p>
    <w:p>
      <w:pPr>
        <w:pStyle w:val="ListParagraph"/>
        <w:numPr>
          <w:ilvl w:val="0"/>
          <w:numId w:val="1"/>
        </w:numPr>
        <w:spacing w:after="60"/>
      </w:pPr>
      <w:r>
        <w:t xml:space="preserve">open-weight execution checks from committed traces and algebraic audits;</w:t>
      </w:r>
    </w:p>
    <w:p>
      <w:pPr>
        <w:pStyle w:val="ListParagraph"/>
        <w:numPr>
          <w:ilvl w:val="0"/>
          <w:numId w:val="1"/>
        </w:numPr>
        <w:spacing w:after="60"/>
      </w:pPr>
      <w:r>
        <w:t xml:space="preserve">an optimistic challenge and dispute path;</w:t>
      </w:r>
    </w:p>
    <w:p>
      <w:pPr>
        <w:pStyle w:val="ListParagraph"/>
        <w:numPr>
          <w:ilvl w:val="0"/>
          <w:numId w:val="1"/>
        </w:numPr>
        <w:spacing w:after="60"/>
      </w:pPr>
      <w:r>
        <w:t xml:space="preserve">a confidential or proprietary execution lane based on attestation;</w:t>
      </w:r>
    </w:p>
    <w:p>
      <w:pPr>
        <w:pStyle w:val="ListParagraph"/>
        <w:numPr>
          <w:ilvl w:val="0"/>
          <w:numId w:val="1"/>
        </w:numPr>
        <w:spacing w:after="60"/>
      </w:pPr>
      <w:r>
        <w:t xml:space="preserve">data-availability retention and withholding response;</w:t>
      </w:r>
    </w:p>
    <w:p>
      <w:pPr>
        <w:pStyle w:val="ListParagraph"/>
        <w:numPr>
          <w:ilvl w:val="0"/>
          <w:numId w:val="1"/>
        </w:numPr>
        <w:spacing w:after="60"/>
      </w:pPr>
      <w:r>
        <w:t xml:space="preserve">bounded task credit and next-epoch weight conversion;</w:t>
      </w:r>
    </w:p>
    <w:p>
      <w:pPr>
        <w:pStyle w:val="ListParagraph"/>
        <w:numPr>
          <w:ilvl w:val="0"/>
          <w:numId w:val="1"/>
        </w:numPr>
        <w:spacing w:after="60"/>
      </w:pPr>
      <w:r>
        <w:t xml:space="preserve">EVM-compatible receipt and credit settlement; and</w:t>
      </w:r>
    </w:p>
    <w:p>
      <w:pPr>
        <w:pStyle w:val="ListParagraph"/>
        <w:numPr>
          <w:ilvl w:val="0"/>
          <w:numId w:val="1"/>
        </w:numPr>
        <w:spacing w:after="60"/>
      </w:pPr>
      <w:r>
        <w:t xml:space="preserve">future scaling to larger frontier or MoE deployments.</w:t>
      </w:r>
    </w:p>
    <w:p>
      <w:pPr>
        <w:widowControl/>
        <w:spacing w:after="120" w:line="280"/>
      </w:pPr>
      <w:r>
        <w:t xml:space="preserve">Conceptual figure and algorithm sources are preserved in editable form under:</w:t>
      </w:r>
    </w:p>
    <w:p>
      <w:pPr>
        <w:pStyle w:val="ListParagraph"/>
        <w:numPr>
          <w:ilvl w:val="0"/>
          <w:numId w:val="1"/>
        </w:numPr>
        <w:spacing w:after="60"/>
      </w:pPr>
      <w:r>
        <w:rPr>
          <w:rFonts w:ascii="Courier New" w:cs="Courier New" w:eastAsia="Courier New" w:hAnsi="Courier New"/>
          <w:color w:val="1F4E5F"/>
          <w:shd w:fill="E9F2F4" w:val="clear"/>
        </w:rPr>
        <w:t xml:space="preserve">docs/diagrams/D1_system_architecture.mmd</w:t>
      </w:r>
    </w:p>
    <w:p>
      <w:pPr>
        <w:pStyle w:val="ListParagraph"/>
        <w:numPr>
          <w:ilvl w:val="0"/>
          <w:numId w:val="1"/>
        </w:numPr>
        <w:spacing w:after="60"/>
      </w:pPr>
      <w:r>
        <w:rPr>
          <w:rFonts w:ascii="Courier New" w:cs="Courier New" w:eastAsia="Courier New" w:hAnsi="Courier New"/>
          <w:color w:val="1F4E5F"/>
          <w:shd w:fill="E9F2F4" w:val="clear"/>
        </w:rPr>
        <w:t xml:space="preserve">docs/diagrams/D2_spai_sequence.mmd</w:t>
      </w:r>
    </w:p>
    <w:p>
      <w:pPr>
        <w:pStyle w:val="ListParagraph"/>
        <w:numPr>
          <w:ilvl w:val="0"/>
          <w:numId w:val="1"/>
        </w:numPr>
        <w:spacing w:after="60"/>
      </w:pPr>
      <w:r>
        <w:rPr>
          <w:rFonts w:ascii="Courier New" w:cs="Courier New" w:eastAsia="Courier New" w:hAnsi="Courier New"/>
          <w:color w:val="1F4E5F"/>
          <w:shd w:fill="E9F2F4" w:val="clear"/>
        </w:rPr>
        <w:t xml:space="preserve">docs/diagrams/D3_receipt_state.mmd</w:t>
      </w:r>
    </w:p>
    <w:p>
      <w:pPr>
        <w:pStyle w:val="ListParagraph"/>
        <w:numPr>
          <w:ilvl w:val="0"/>
          <w:numId w:val="1"/>
        </w:numPr>
        <w:spacing w:after="60"/>
      </w:pPr>
      <w:r>
        <w:rPr>
          <w:rFonts w:ascii="Courier New" w:cs="Courier New" w:eastAsia="Courier New" w:hAnsi="Courier New"/>
          <w:color w:val="1F4E5F"/>
          <w:shd w:fill="E9F2F4" w:val="clear"/>
        </w:rPr>
        <w:t xml:space="preserve">docs/diagrams/D4_audit_compiler.mmd</w:t>
      </w:r>
    </w:p>
    <w:p>
      <w:pPr>
        <w:pStyle w:val="ListParagraph"/>
        <w:numPr>
          <w:ilvl w:val="0"/>
          <w:numId w:val="1"/>
        </w:numPr>
        <w:spacing w:after="60"/>
      </w:pPr>
      <w:r>
        <w:rPr>
          <w:rFonts w:ascii="Courier New" w:cs="Courier New" w:eastAsia="Courier New" w:hAnsi="Courier New"/>
          <w:color w:val="1F4E5F"/>
          <w:shd w:fill="E9F2F4" w:val="clear"/>
        </w:rPr>
        <w:t xml:space="preserve">docs/diagrams/D5_economic_flow.mmd</w:t>
      </w:r>
    </w:p>
    <w:p>
      <w:pPr>
        <w:pStyle w:val="ListParagraph"/>
        <w:numPr>
          <w:ilvl w:val="0"/>
          <w:numId w:val="1"/>
        </w:numPr>
        <w:spacing w:after="60"/>
      </w:pPr>
      <w:r>
        <w:rPr>
          <w:rFonts w:ascii="Courier New" w:cs="Courier New" w:eastAsia="Courier New" w:hAnsi="Courier New"/>
          <w:color w:val="1F4E5F"/>
          <w:shd w:fill="E9F2F4" w:val="clear"/>
        </w:rPr>
        <w:t xml:space="preserve">docs/diagrams/D6_semantic_audit.mmd</w:t>
      </w:r>
    </w:p>
    <w:p>
      <w:pPr>
        <w:pStyle w:val="ListParagraph"/>
        <w:numPr>
          <w:ilvl w:val="0"/>
          <w:numId w:val="1"/>
        </w:numPr>
        <w:spacing w:after="60"/>
      </w:pPr>
      <w:r>
        <w:rPr>
          <w:rFonts w:ascii="Courier New" w:cs="Courier New" w:eastAsia="Courier New" w:hAnsi="Courier New"/>
          <w:color w:val="1F4E5F"/>
          <w:shd w:fill="E9F2F4" w:val="clear"/>
        </w:rPr>
        <w:t xml:space="preserve">docs/algorithms/A1_SPAI.md</w:t>
      </w:r>
    </w:p>
    <w:p>
      <w:pPr>
        <w:pStyle w:val="ListParagraph"/>
        <w:numPr>
          <w:ilvl w:val="0"/>
          <w:numId w:val="1"/>
        </w:numPr>
        <w:spacing w:after="60"/>
      </w:pPr>
      <w:r>
        <w:rPr>
          <w:rFonts w:ascii="Courier New" w:cs="Courier New" w:eastAsia="Courier New" w:hAnsi="Courier New"/>
          <w:color w:val="1F4E5F"/>
          <w:shd w:fill="E9F2F4" w:val="clear"/>
        </w:rPr>
        <w:t xml:space="preserve">docs/algorithms/A2_AuditCompiler.md</w:t>
      </w:r>
    </w:p>
    <w:p>
      <w:pPr>
        <w:pStyle w:val="ListParagraph"/>
        <w:numPr>
          <w:ilvl w:val="0"/>
          <w:numId w:val="1"/>
        </w:numPr>
        <w:spacing w:after="60"/>
      </w:pPr>
      <w:r>
        <w:rPr>
          <w:rFonts w:ascii="Courier New" w:cs="Courier New" w:eastAsia="Courier New" w:hAnsi="Courier New"/>
          <w:color w:val="1F4E5F"/>
          <w:shd w:fill="E9F2F4" w:val="clear"/>
        </w:rPr>
        <w:t xml:space="preserve">docs/algorithms/A3_VerifySPAIEvent.md</w:t>
      </w:r>
    </w:p>
    <w:p>
      <w:pPr>
        <w:pStyle w:val="ListParagraph"/>
        <w:numPr>
          <w:ilvl w:val="0"/>
          <w:numId w:val="1"/>
        </w:numPr>
        <w:spacing w:after="60"/>
      </w:pPr>
      <w:r>
        <w:rPr>
          <w:rFonts w:ascii="Courier New" w:cs="Courier New" w:eastAsia="Courier New" w:hAnsi="Courier New"/>
          <w:color w:val="1F4E5F"/>
          <w:shd w:fill="E9F2F4" w:val="clear"/>
        </w:rPr>
        <w:t xml:space="preserve">docs/algorithms/A4_PoI_Credit.md</w:t>
      </w:r>
    </w:p>
    <w:p>
      <w:pPr>
        <w:pStyle w:val="ListParagraph"/>
        <w:numPr>
          <w:ilvl w:val="0"/>
          <w:numId w:val="1"/>
        </w:numPr>
        <w:spacing w:after="60"/>
      </w:pPr>
      <w:r>
        <w:rPr>
          <w:rFonts w:ascii="Courier New" w:cs="Courier New" w:eastAsia="Courier New" w:hAnsi="Courier New"/>
          <w:color w:val="1F4E5F"/>
          <w:shd w:fill="E9F2F4" w:val="clear"/>
        </w:rPr>
        <w:t xml:space="preserve">docs/algorithms/A5_Optimistic_Dispute.md</w:t>
      </w:r>
    </w:p>
    <w:p>
      <w:pPr>
        <w:pStyle w:val="Heading2"/>
        <w:keepNext/>
      </w:pPr>
      <w:r>
        <w:t xml:space="preserve">2.2 Implemented first-publication MPP</w:t>
      </w:r>
    </w:p>
    <w:p>
      <w:pPr>
        <w:widowControl/>
        <w:spacing w:after="120" w:line="280"/>
      </w:pPr>
      <w:r>
        <w:t xml:space="preserve">The approved first-publication MPP is narrower. Its frozen design logic is the three-layer structure already fixed in the repository:</w:t>
      </w:r>
    </w:p>
    <w:p>
      <w:pPr>
        <w:spacing w:after="60"/>
        <w:ind w:left="420" w:hanging="220"/>
      </w:pPr>
      <w:r>
        <w:rPr>
          <w:b/>
          <w:bCs/>
        </w:rPr>
        <w:t xml:space="preserve">1.	</w:t>
      </w:r>
      <w:r>
        <w:t xml:space="preserve">evidence kernel: canonical schemas, hashing, provenance, configuration, and artifact validation;</w:t>
      </w:r>
    </w:p>
    <w:p>
      <w:pPr>
        <w:spacing w:after="60"/>
        <w:ind w:left="420" w:hanging="220"/>
      </w:pPr>
      <w:r>
        <w:rPr>
          <w:b/>
          <w:bCs/>
        </w:rPr>
        <w:t xml:space="preserve">2.	</w:t>
      </w:r>
      <w:r>
        <w:t xml:space="preserve">protocol kernel: task -&gt; commitment -&gt; audit -&gt; challenge or DA -&gt; receipt -&gt; credit lifecycle;</w:t>
      </w:r>
    </w:p>
    <w:p>
      <w:pPr>
        <w:spacing w:after="60"/>
        <w:ind w:left="420" w:hanging="220"/>
      </w:pPr>
      <w:r>
        <w:rPr>
          <w:b/>
          <w:bCs/>
        </w:rPr>
        <w:t xml:space="preserve">3.	</w:t>
      </w:r>
      <w:r>
        <w:t xml:space="preserve">vertical experiment slices: E1-E8, each with its own RED-GREEN-REFACTOR cycle and publication gate.</w:t>
      </w:r>
    </w:p>
    <w:p>
      <w:pPr>
        <w:widowControl/>
        <w:spacing w:after="120" w:line="280"/>
      </w:pPr>
      <w:r>
        <w:t xml:space="preserve">The publication MPP is limited to:</w:t>
      </w:r>
    </w:p>
    <w:p>
      <w:pPr>
        <w:pStyle w:val="ListParagraph"/>
        <w:numPr>
          <w:ilvl w:val="0"/>
          <w:numId w:val="1"/>
        </w:numPr>
        <w:spacing w:after="60"/>
      </w:pPr>
      <w:r>
        <w:t xml:space="preserve">one 1B-3B open-weight primary model and one optional 7B-8B scaling model;</w:t>
      </w:r>
    </w:p>
    <w:p>
      <w:pPr>
        <w:pStyle w:val="ListParagraph"/>
        <w:numPr>
          <w:ilvl w:val="0"/>
          <w:numId w:val="1"/>
        </w:numPr>
        <w:spacing w:after="60"/>
      </w:pPr>
      <w:r>
        <w:t xml:space="preserve">objective and grounded task classes only;</w:t>
      </w:r>
    </w:p>
    <w:p>
      <w:pPr>
        <w:pStyle w:val="ListParagraph"/>
        <w:numPr>
          <w:ilvl w:val="0"/>
          <w:numId w:val="1"/>
        </w:numPr>
        <w:spacing w:after="60"/>
      </w:pPr>
      <w:r>
        <w:t xml:space="preserve">a local EVM using Foundry and Anvil;</w:t>
      </w:r>
    </w:p>
    <w:p>
      <w:pPr>
        <w:pStyle w:val="ListParagraph"/>
        <w:numPr>
          <w:ilvl w:val="0"/>
          <w:numId w:val="1"/>
        </w:numPr>
        <w:spacing w:after="60"/>
      </w:pPr>
      <w:r>
        <w:t xml:space="preserve">reproducible E1-E8 artifact plumbing;</w:t>
      </w:r>
    </w:p>
    <w:p>
      <w:pPr>
        <w:pStyle w:val="ListParagraph"/>
        <w:numPr>
          <w:ilvl w:val="0"/>
          <w:numId w:val="1"/>
        </w:numPr>
        <w:spacing w:after="60"/>
      </w:pPr>
      <w:r>
        <w:t xml:space="preserve">explicit negative, incomplete, and inconclusive reporting.</w:t>
      </w:r>
    </w:p>
    <w:p>
      <w:pPr>
        <w:widowControl/>
        <w:spacing w:after="120" w:line="280"/>
      </w:pPr>
      <w:r>
        <w:t xml:space="preserve">The publication MPP explicitly defers:</w:t>
      </w:r>
    </w:p>
    <w:p>
      <w:pPr>
        <w:pStyle w:val="ListParagraph"/>
        <w:numPr>
          <w:ilvl w:val="0"/>
          <w:numId w:val="1"/>
        </w:numPr>
        <w:spacing w:after="60"/>
      </w:pPr>
      <w:r>
        <w:t xml:space="preserve">70B or larger validation;</w:t>
      </w:r>
    </w:p>
    <w:p>
      <w:pPr>
        <w:pStyle w:val="ListParagraph"/>
        <w:numPr>
          <w:ilvl w:val="0"/>
          <w:numId w:val="1"/>
        </w:numPr>
        <w:spacing w:after="60"/>
      </w:pPr>
      <w:r>
        <w:t xml:space="preserve">MoE or distributed production serving;</w:t>
      </w:r>
    </w:p>
    <w:p>
      <w:pPr>
        <w:pStyle w:val="ListParagraph"/>
        <w:numPr>
          <w:ilvl w:val="0"/>
          <w:numId w:val="1"/>
        </w:numPr>
        <w:spacing w:after="60"/>
      </w:pPr>
      <w:r>
        <w:t xml:space="preserve">confidential GPU or TEE execution;</w:t>
      </w:r>
    </w:p>
    <w:p>
      <w:pPr>
        <w:pStyle w:val="ListParagraph"/>
        <w:numPr>
          <w:ilvl w:val="0"/>
          <w:numId w:val="1"/>
        </w:numPr>
        <w:spacing w:after="60"/>
      </w:pPr>
      <w:r>
        <w:t xml:space="preserve">a production-grade dispute VM;</w:t>
      </w:r>
    </w:p>
    <w:p>
      <w:pPr>
        <w:pStyle w:val="ListParagraph"/>
        <w:numPr>
          <w:ilvl w:val="0"/>
          <w:numId w:val="1"/>
        </w:numPr>
        <w:spacing w:after="60"/>
      </w:pPr>
      <w:r>
        <w:t xml:space="preserve">production DA infrastructure;</w:t>
      </w:r>
    </w:p>
    <w:p>
      <w:pPr>
        <w:pStyle w:val="ListParagraph"/>
        <w:numPr>
          <w:ilvl w:val="0"/>
          <w:numId w:val="1"/>
        </w:numPr>
        <w:spacing w:after="60"/>
      </w:pPr>
      <w:r>
        <w:t xml:space="preserve">a production consensus client.</w:t>
      </w:r>
    </w:p>
    <w:p>
      <w:pPr>
        <w:pStyle w:val="Heading2"/>
        <w:keepNext/>
      </w:pPr>
      <w:r>
        <w:t xml:space="preserve">2.3 Evidence-origin rule</w:t>
      </w:r>
    </w:p>
    <w:p>
      <w:pPr>
        <w:widowControl/>
        <w:spacing w:after="120" w:line="280"/>
      </w:pPr>
      <w:r>
        <w:t xml:space="preserve">Synthetic data is permitted only for plumbing tests and must remain labeled </w:t>
      </w:r>
      <w:r>
        <w:rPr>
          <w:rFonts w:ascii="Courier New" w:cs="Courier New" w:eastAsia="Courier New" w:hAnsi="Courier New"/>
          <w:color w:val="1F4E5F"/>
          <w:shd w:fill="E9F2F4" w:val="clear"/>
        </w:rPr>
        <w:t xml:space="preserve">SYNTHETIC_NON_EVIDENCE</w:t>
      </w:r>
      <w:r>
        <w:t xml:space="preserve">. Paper tables and figures may derive only from:</w:t>
      </w:r>
    </w:p>
    <w:p>
      <w:pPr>
        <w:pStyle w:val="ListParagraph"/>
        <w:numPr>
          <w:ilvl w:val="0"/>
          <w:numId w:val="1"/>
        </w:numPr>
        <w:spacing w:after="60"/>
      </w:pPr>
      <w:r>
        <w:t xml:space="preserve">authorized real execution;</w:t>
      </w:r>
    </w:p>
    <w:p>
      <w:pPr>
        <w:pStyle w:val="ListParagraph"/>
        <w:numPr>
          <w:ilvl w:val="0"/>
          <w:numId w:val="1"/>
        </w:numPr>
        <w:spacing w:after="60"/>
      </w:pPr>
      <w:r>
        <w:t xml:space="preserve">Foundry measurement; or</w:t>
      </w:r>
    </w:p>
    <w:p>
      <w:pPr>
        <w:pStyle w:val="ListParagraph"/>
        <w:numPr>
          <w:ilvl w:val="0"/>
          <w:numId w:val="1"/>
        </w:numPr>
        <w:spacing w:after="60"/>
      </w:pPr>
      <w:r>
        <w:t xml:space="preserve">explicitly declared reproducible simulation.</w:t>
      </w:r>
    </w:p>
    <w:p>
      <w:pPr>
        <w:widowControl/>
        <w:spacing w:after="120" w:line="280"/>
      </w:pPr>
      <w:r>
        <w:t xml:space="preserve">This rule is enforced by the repository’s artifact contract and is essential to interpreting the current manuscript honestly.</w:t>
      </w:r>
    </w:p>
    <w:p>
      <w:pPr>
        <w:pStyle w:val="Heading1"/>
        <w:keepNext/>
      </w:pPr>
      <w:r>
        <w:t xml:space="preserve">3. Proposed full architecture</w:t>
      </w:r>
    </w:p>
    <w:p>
      <w:pPr>
        <w:pStyle w:val="Heading2"/>
        <w:keepNext/>
      </w:pPr>
      <w:r>
        <w:t xml:space="preserve">3.1 Single-pass auditable event</w:t>
      </w:r>
    </w:p>
    <w:p>
      <w:pPr>
        <w:widowControl/>
        <w:spacing w:after="120" w:line="280"/>
      </w:pPr>
      <w:r>
        <w:t xml:space="preserve">The core protocol path is:</w:t>
      </w:r>
    </w:p>
    <w:p>
      <w:pPr>
        <w:widowControl/>
        <w:spacing w:after="120" w:line="280"/>
      </w:pPr>
      <w:r>
        <w:rPr>
          <w:rFonts w:ascii="Courier New" w:cs="Courier New" w:eastAsia="Courier New" w:hAnsi="Courier New"/>
          <w:color w:val="1F4E5F"/>
          <w:shd w:fill="E9F2F4" w:val="clear"/>
        </w:rPr>
        <w:t xml:space="preserve">task -&gt; execute once -&gt; trace + Intelligence Evidence Capsule -&gt; commitment -&gt; post-commit audit -&gt; challenge or DA gate -&gt; matured receipt -&gt; next-epoch weight</w:t>
      </w:r>
    </w:p>
    <w:p>
      <w:pPr>
        <w:widowControl/>
        <w:spacing w:after="120" w:line="280"/>
      </w:pPr>
      <w:r>
        <w:t xml:space="preserve">The key design rule is that the concrete audit sample is not known before the response commitment is finalized. This preserves audit unpredictability while avoiding a second full model run on the normal path.</w:t>
      </w:r>
    </w:p>
    <w:p>
      <w:pPr>
        <w:widowControl/>
        <w:spacing w:after="120" w:line="280"/>
      </w:pPr>
      <w:r>
        <w:t xml:space="preserve">Suggested conceptual callout:</w:t>
      </w:r>
    </w:p>
    <w:p>
      <w:pPr>
        <w:pStyle w:val="ListParagraph"/>
        <w:numPr>
          <w:ilvl w:val="0"/>
          <w:numId w:val="1"/>
        </w:numPr>
        <w:spacing w:after="60"/>
      </w:pPr>
      <w:r>
        <w:t xml:space="preserve">Figure F1 placeholder: system architecture from </w:t>
      </w:r>
      <w:r>
        <w:rPr>
          <w:rFonts w:ascii="Courier New" w:cs="Courier New" w:eastAsia="Courier New" w:hAnsi="Courier New"/>
          <w:color w:val="1F4E5F"/>
          <w:shd w:fill="E9F2F4" w:val="clear"/>
        </w:rPr>
        <w:t xml:space="preserve">docs/diagrams/D1_system_architecture.mmd</w:t>
      </w:r>
    </w:p>
    <w:p>
      <w:pPr>
        <w:pStyle w:val="ListParagraph"/>
        <w:numPr>
          <w:ilvl w:val="0"/>
          <w:numId w:val="1"/>
        </w:numPr>
        <w:spacing w:after="60"/>
      </w:pPr>
      <w:r>
        <w:t xml:space="preserve">Figure F2 placeholder: SPAI sequence from </w:t>
      </w:r>
      <w:r>
        <w:rPr>
          <w:rFonts w:ascii="Courier New" w:cs="Courier New" w:eastAsia="Courier New" w:hAnsi="Courier New"/>
          <w:color w:val="1F4E5F"/>
          <w:shd w:fill="E9F2F4" w:val="clear"/>
        </w:rPr>
        <w:t xml:space="preserve">docs/diagrams/D2_spai_sequence.mmd</w:t>
      </w:r>
    </w:p>
    <w:p>
      <w:pPr>
        <w:pStyle w:val="ListParagraph"/>
        <w:numPr>
          <w:ilvl w:val="0"/>
          <w:numId w:val="1"/>
        </w:numPr>
        <w:spacing w:after="60"/>
      </w:pPr>
      <w:r>
        <w:t xml:space="preserve">Algorithm A1: SPAI procedure from </w:t>
      </w:r>
      <w:r>
        <w:rPr>
          <w:rFonts w:ascii="Courier New" w:cs="Courier New" w:eastAsia="Courier New" w:hAnsi="Courier New"/>
          <w:color w:val="1F4E5F"/>
          <w:shd w:fill="E9F2F4" w:val="clear"/>
        </w:rPr>
        <w:t xml:space="preserve">docs/algorithms/A1_SPAI.md</w:t>
      </w:r>
    </w:p>
    <w:p>
      <w:pPr>
        <w:pStyle w:val="Heading2"/>
        <w:keepNext/>
      </w:pPr>
      <w:r>
        <w:t xml:space="preserve">3.2 Execution assurance lanes</w:t>
      </w:r>
    </w:p>
    <w:p>
      <w:pPr>
        <w:widowControl/>
        <w:spacing w:after="120" w:line="280"/>
      </w:pPr>
      <w:r>
        <w:t xml:space="preserve">The full architecture defines two execution-assurance lanes:</w:t>
      </w:r>
    </w:p>
    <w:p>
      <w:pPr>
        <w:pStyle w:val="ListParagraph"/>
        <w:numPr>
          <w:ilvl w:val="0"/>
          <w:numId w:val="1"/>
        </w:numPr>
        <w:spacing w:after="60"/>
      </w:pPr>
      <w:r>
        <w:t xml:space="preserve">an open-weight lane based on trace commitments, bounded exact checks, and randomized algebraic audits; and</w:t>
      </w:r>
    </w:p>
    <w:p>
      <w:pPr>
        <w:pStyle w:val="ListParagraph"/>
        <w:numPr>
          <w:ilvl w:val="0"/>
          <w:numId w:val="1"/>
        </w:numPr>
        <w:spacing w:after="60"/>
      </w:pPr>
      <w:r>
        <w:t xml:space="preserve">a confidential lane based on remote attestation and policy-gated execution provenance.</w:t>
      </w:r>
    </w:p>
    <w:p>
      <w:pPr>
        <w:widowControl/>
        <w:spacing w:after="120" w:line="280"/>
      </w:pPr>
      <w:r>
        <w:t xml:space="preserve">Only the open-weight lane belongs to the current first-publication MPP. The confidential lane is architecture only in this manuscript and is not an empirically supported repository result.</w:t>
      </w:r>
    </w:p>
    <w:p>
      <w:pPr>
        <w:pStyle w:val="Heading2"/>
        <w:keepNext/>
      </w:pPr>
      <w:r>
        <w:t xml:space="preserve">3.3 Semantic verification and the Intelligence Evidence Capsule</w:t>
      </w:r>
    </w:p>
    <w:p>
      <w:pPr>
        <w:widowControl/>
        <w:spacing w:after="120" w:line="280"/>
      </w:pPr>
      <w:r>
        <w:t xml:space="preserve">The architecture binds claims, evidence roots, dependency edges, uncertainty tags, executable artifacts, and coverage maps to the same response event. The semantic audit taxonomy distinguishes objective, grounded, open-semantic, and underdetermined classes. The implemented MPP preserves only the objective and grounded subset. Open-ended semantic competence remains outside the current publication-validated surface.</w:t>
      </w:r>
    </w:p>
    <w:p>
      <w:pPr>
        <w:widowControl/>
        <w:spacing w:after="120" w:line="280"/>
      </w:pPr>
      <w:r>
        <w:t xml:space="preserve">Suggested conceptual callout:</w:t>
      </w:r>
    </w:p>
    <w:p>
      <w:pPr>
        <w:pStyle w:val="ListParagraph"/>
        <w:numPr>
          <w:ilvl w:val="0"/>
          <w:numId w:val="1"/>
        </w:numPr>
        <w:spacing w:after="60"/>
      </w:pPr>
      <w:r>
        <w:t xml:space="preserve">Figure F4 placeholder: semantic pipeline from </w:t>
      </w:r>
      <w:r>
        <w:rPr>
          <w:rFonts w:ascii="Courier New" w:cs="Courier New" w:eastAsia="Courier New" w:hAnsi="Courier New"/>
          <w:color w:val="1F4E5F"/>
          <w:shd w:fill="E9F2F4" w:val="clear"/>
        </w:rPr>
        <w:t xml:space="preserve">docs/diagrams/D6_semantic_audit.mmd</w:t>
      </w:r>
    </w:p>
    <w:p>
      <w:pPr>
        <w:pStyle w:val="ListParagraph"/>
        <w:numPr>
          <w:ilvl w:val="0"/>
          <w:numId w:val="1"/>
        </w:numPr>
        <w:spacing w:after="60"/>
      </w:pPr>
      <w:r>
        <w:t xml:space="preserve">Algorithm A3: verification procedure from </w:t>
      </w:r>
      <w:r>
        <w:rPr>
          <w:rFonts w:ascii="Courier New" w:cs="Courier New" w:eastAsia="Courier New" w:hAnsi="Courier New"/>
          <w:color w:val="1F4E5F"/>
          <w:shd w:fill="E9F2F4" w:val="clear"/>
        </w:rPr>
        <w:t xml:space="preserve">docs/algorithms/A3_VerifySPAIEvent.md</w:t>
      </w:r>
    </w:p>
    <w:p>
      <w:pPr>
        <w:pStyle w:val="Heading2"/>
        <w:keepNext/>
      </w:pPr>
      <w:r>
        <w:t xml:space="preserve">3.4 Receipt, credit, and next-epoch authority</w:t>
      </w:r>
    </w:p>
    <w:p>
      <w:pPr>
        <w:widowControl/>
        <w:spacing w:after="120" w:line="280"/>
      </w:pPr>
      <w:r>
        <w:t xml:space="preserve">The full architecture mints non-transferable intelligence receipts that pass through commitment, audit, challenge, and maturity stages before bounded task credit is allocated. Only matured, policy-eligible receipts contribute to next-epoch weight. This separates service work from consensus authority and preserves the rule that collateral cannot mint PoI weight by itself.</w:t>
      </w:r>
    </w:p>
    <w:p>
      <w:pPr>
        <w:widowControl/>
        <w:spacing w:after="120" w:line="280"/>
      </w:pPr>
      <w:r>
        <w:t xml:space="preserve">Suggested conceptual callout:</w:t>
      </w:r>
    </w:p>
    <w:p>
      <w:pPr>
        <w:pStyle w:val="ListParagraph"/>
        <w:numPr>
          <w:ilvl w:val="0"/>
          <w:numId w:val="1"/>
        </w:numPr>
        <w:spacing w:after="60"/>
      </w:pPr>
      <w:r>
        <w:t xml:space="preserve">Figure F3-style state machine from </w:t>
      </w:r>
      <w:r>
        <w:rPr>
          <w:rFonts w:ascii="Courier New" w:cs="Courier New" w:eastAsia="Courier New" w:hAnsi="Courier New"/>
          <w:color w:val="1F4E5F"/>
          <w:shd w:fill="E9F2F4" w:val="clear"/>
        </w:rPr>
        <w:t xml:space="preserve">docs/diagrams/D3_receipt_state.mmd</w:t>
      </w:r>
    </w:p>
    <w:p>
      <w:pPr>
        <w:pStyle w:val="ListParagraph"/>
        <w:numPr>
          <w:ilvl w:val="0"/>
          <w:numId w:val="1"/>
        </w:numPr>
        <w:spacing w:after="60"/>
      </w:pPr>
      <w:r>
        <w:t xml:space="preserve">Figure economic flow placeholder from </w:t>
      </w:r>
      <w:r>
        <w:rPr>
          <w:rFonts w:ascii="Courier New" w:cs="Courier New" w:eastAsia="Courier New" w:hAnsi="Courier New"/>
          <w:color w:val="1F4E5F"/>
          <w:shd w:fill="E9F2F4" w:val="clear"/>
        </w:rPr>
        <w:t xml:space="preserve">docs/diagrams/D5_economic_flow.mmd</w:t>
      </w:r>
    </w:p>
    <w:p>
      <w:pPr>
        <w:pStyle w:val="ListParagraph"/>
        <w:numPr>
          <w:ilvl w:val="0"/>
          <w:numId w:val="1"/>
        </w:numPr>
        <w:spacing w:after="60"/>
      </w:pPr>
      <w:r>
        <w:t xml:space="preserve">Algorithm A4: credit update rule from </w:t>
      </w:r>
      <w:r>
        <w:rPr>
          <w:rFonts w:ascii="Courier New" w:cs="Courier New" w:eastAsia="Courier New" w:hAnsi="Courier New"/>
          <w:color w:val="1F4E5F"/>
          <w:shd w:fill="E9F2F4" w:val="clear"/>
        </w:rPr>
        <w:t xml:space="preserve">docs/algorithms/A4_PoI_Credit.md</w:t>
      </w:r>
    </w:p>
    <w:p>
      <w:pPr>
        <w:pStyle w:val="ListParagraph"/>
        <w:numPr>
          <w:ilvl w:val="0"/>
          <w:numId w:val="1"/>
        </w:numPr>
        <w:spacing w:after="60"/>
      </w:pPr>
      <w:r>
        <w:t xml:space="preserve">Algorithm A5: optimistic dispute procedure from </w:t>
      </w:r>
      <w:r>
        <w:rPr>
          <w:rFonts w:ascii="Courier New" w:cs="Courier New" w:eastAsia="Courier New" w:hAnsi="Courier New"/>
          <w:color w:val="1F4E5F"/>
          <w:shd w:fill="E9F2F4" w:val="clear"/>
        </w:rPr>
        <w:t xml:space="preserve">docs/algorithms/A5_Optimistic_Dispute.md</w:t>
      </w:r>
    </w:p>
    <w:p>
      <w:pPr>
        <w:pStyle w:val="Heading1"/>
        <w:keepNext/>
      </w:pPr>
      <w:r>
        <w:t xml:space="preserve">4. Implemented MPP</w:t>
      </w:r>
    </w:p>
    <w:p>
      <w:pPr>
        <w:pStyle w:val="Heading2"/>
        <w:keepNext/>
      </w:pPr>
      <w:r>
        <w:t xml:space="preserve">4.1 Repository structure</w:t>
      </w:r>
    </w:p>
    <w:p>
      <w:pPr>
        <w:widowControl/>
        <w:spacing w:after="120" w:line="280"/>
      </w:pPr>
      <w:r>
        <w:t xml:space="preserve">The implemented repository follows the frozen three-layer design and places the publication logic under a deterministic artifact pipeline. The practical shape is:</w:t>
      </w:r>
    </w:p>
    <w:p>
      <w:pPr>
        <w:widowControl/>
        <w:spacing w:after="120" w:line="280"/>
      </w:pPr>
      <w:r>
        <w:rPr>
          <w:rFonts w:ascii="Courier New" w:cs="Courier New" w:eastAsia="Courier New" w:hAnsi="Courier New"/>
          <w:color w:val="1F4E5F"/>
          <w:shd w:fill="E9F2F4" w:val="clear"/>
        </w:rPr>
        <w:t xml:space="preserve">raw data -&gt; aggregation script -&gt; table or figure artifact -&gt; manuscript</w:t>
      </w:r>
    </w:p>
    <w:p>
      <w:pPr>
        <w:widowControl/>
        <w:spacing w:after="120" w:line="280"/>
      </w:pPr>
      <w:r>
        <w:t xml:space="preserve">This means the manuscript is downstream of the evidence kernel rather than a freehand reporting layer.</w:t>
      </w:r>
    </w:p>
    <w:p>
      <w:pPr>
        <w:widowControl/>
        <w:spacing w:after="120" w:line="280"/>
      </w:pPr>
      <w:r>
        <w:t xml:space="preserve">Relevant repository contracts include:</w:t>
      </w:r>
    </w:p>
    <w:p>
      <w:pPr>
        <w:pStyle w:val="ListParagraph"/>
        <w:numPr>
          <w:ilvl w:val="0"/>
          <w:numId w:val="1"/>
        </w:numPr>
        <w:spacing w:after="60"/>
      </w:pPr>
      <w:r>
        <w:rPr>
          <w:rFonts w:ascii="Courier New" w:cs="Courier New" w:eastAsia="Courier New" w:hAnsi="Courier New"/>
          <w:color w:val="1F4E5F"/>
          <w:shd w:fill="E9F2F4" w:val="clear"/>
        </w:rPr>
        <w:t xml:space="preserve">README.md</w:t>
      </w:r>
    </w:p>
    <w:p>
      <w:pPr>
        <w:pStyle w:val="ListParagraph"/>
        <w:numPr>
          <w:ilvl w:val="0"/>
          <w:numId w:val="1"/>
        </w:numPr>
        <w:spacing w:after="60"/>
      </w:pPr>
      <w:r>
        <w:rPr>
          <w:rFonts w:ascii="Courier New" w:cs="Courier New" w:eastAsia="Courier New" w:hAnsi="Courier New"/>
          <w:color w:val="1F4E5F"/>
          <w:shd w:fill="E9F2F4" w:val="clear"/>
        </w:rPr>
        <w:t xml:space="preserve">docs/EXPERIMENT_PLAN.md</w:t>
      </w:r>
    </w:p>
    <w:p>
      <w:pPr>
        <w:pStyle w:val="ListParagraph"/>
        <w:numPr>
          <w:ilvl w:val="0"/>
          <w:numId w:val="1"/>
        </w:numPr>
        <w:spacing w:after="60"/>
      </w:pPr>
      <w:r>
        <w:rPr>
          <w:rFonts w:ascii="Courier New" w:cs="Courier New" w:eastAsia="Courier New" w:hAnsi="Courier New"/>
          <w:color w:val="1F4E5F"/>
          <w:shd w:fill="E9F2F4" w:val="clear"/>
        </w:rPr>
        <w:t xml:space="preserve">docs/EXPERIMENT_ARTIFACT_MATRIX.md</w:t>
      </w:r>
    </w:p>
    <w:p>
      <w:pPr>
        <w:pStyle w:val="ListParagraph"/>
        <w:numPr>
          <w:ilvl w:val="0"/>
          <w:numId w:val="1"/>
        </w:numPr>
        <w:spacing w:after="60"/>
      </w:pPr>
      <w:r>
        <w:rPr>
          <w:rFonts w:ascii="Courier New" w:cs="Courier New" w:eastAsia="Courier New" w:hAnsi="Courier New"/>
          <w:color w:val="1F4E5F"/>
          <w:shd w:fill="E9F2F4" w:val="clear"/>
        </w:rPr>
        <w:t xml:space="preserve">docs/ARTIFACT_COLLECTION_GUIDE.md</w:t>
      </w:r>
    </w:p>
    <w:p>
      <w:pPr>
        <w:pStyle w:val="ListParagraph"/>
        <w:numPr>
          <w:ilvl w:val="0"/>
          <w:numId w:val="1"/>
        </w:numPr>
        <w:spacing w:after="60"/>
      </w:pPr>
      <w:r>
        <w:rPr>
          <w:rFonts w:ascii="Courier New" w:cs="Courier New" w:eastAsia="Courier New" w:hAnsi="Courier New"/>
          <w:color w:val="1F4E5F"/>
          <w:shd w:fill="E9F2F4" w:val="clear"/>
        </w:rPr>
        <w:t xml:space="preserve">docs/PAPER_ARTIFACT_MAP.md</w:t>
      </w:r>
    </w:p>
    <w:p>
      <w:pPr>
        <w:pStyle w:val="ListParagraph"/>
        <w:numPr>
          <w:ilvl w:val="0"/>
          <w:numId w:val="1"/>
        </w:numPr>
        <w:spacing w:after="60"/>
      </w:pPr>
      <w:r>
        <w:rPr>
          <w:rFonts w:ascii="Courier New" w:cs="Courier New" w:eastAsia="Courier New" w:hAnsi="Courier New"/>
          <w:color w:val="1F4E5F"/>
          <w:shd w:fill="E9F2F4" w:val="clear"/>
        </w:rPr>
        <w:t xml:space="preserve">docs/MAIN_RESULTS_TARGETS.md</w:t>
      </w:r>
    </w:p>
    <w:p>
      <w:pPr>
        <w:pStyle w:val="Heading2"/>
        <w:keepNext/>
      </w:pPr>
      <w:r>
        <w:t xml:space="preserve">4.2 End-to-end state</w:t>
      </w:r>
    </w:p>
    <w:p>
      <w:pPr>
        <w:widowControl/>
        <w:spacing w:after="120" w:line="280"/>
      </w:pPr>
      <w:r>
        <w:t xml:space="preserve">Within its approved scope, the MPP software is materially implemented: evidence schemas, protocol objects, Python-Solidity parity surfaces, reporting builders, Foundry contract scaffolds, and a canonical publication-artifact pipeline are present. The manifest is the source of truth for result status; software implementation does not compensate for an inconclusive experiment, an absent authority, missing independent review, or an absent freeze sentinel.</w:t>
      </w:r>
    </w:p>
    <w:p>
      <w:pPr>
        <w:pStyle w:val="Heading2"/>
        <w:keepNext/>
      </w:pPr>
      <w:r>
        <w:t xml:space="preserve">4.3 Canonical publication state</w:t>
      </w:r>
    </w:p>
    <w:p>
      <w:pPr>
        <w:widowControl/>
        <w:spacing w:after="120" w:line="280"/>
      </w:pPr>
      <w:r>
        <w:t xml:space="preserve">The canonical artifact manifest contains E1, E2, and E4-E8 result surfaces and records the E3 omission ledger. It does not make the manuscript publication-ready. E3 remains </w:t>
      </w:r>
      <w:r>
        <w:rPr>
          <w:rFonts w:ascii="Courier New" w:cs="Courier New" w:eastAsia="Courier New" w:hAnsi="Courier New"/>
          <w:color w:val="1F4E5F"/>
          <w:shd w:fill="E9F2F4" w:val="clear"/>
        </w:rPr>
        <w:t xml:space="preserve">WAITING_EXTERNAL</w:t>
      </w:r>
      <w:r>
        <w:t xml:space="preserve">, and the independent-review and freeze-sentinel gates remain open. These gate states are part of the scientific interpretation rather than formatting or administrative details.</w:t>
      </w:r>
    </w:p>
    <w:p>
      <w:pPr>
        <w:pStyle w:val="Heading1"/>
        <w:keepNext/>
      </w:pPr>
      <w:r>
        <w:t xml:space="preserve">5. Experimental design and artifact contract</w:t>
      </w:r>
    </w:p>
    <w:p>
      <w:pPr>
        <w:widowControl/>
        <w:spacing w:after="120" w:line="280"/>
      </w:pPr>
      <w:r>
        <w:t xml:space="preserve">Experiments E1-E8 are defined in </w:t>
      </w:r>
      <w:r>
        <w:rPr>
          <w:rFonts w:ascii="Courier New" w:cs="Courier New" w:eastAsia="Courier New" w:hAnsi="Courier New"/>
          <w:color w:val="1F4E5F"/>
          <w:shd w:fill="E9F2F4" w:val="clear"/>
        </w:rPr>
        <w:t xml:space="preserve">docs/EXPERIMENT_PLAN.md</w:t>
      </w:r>
      <w:r>
        <w:t xml:space="preserve">, mapped to paper artifacts in </w:t>
      </w:r>
      <w:r>
        <w:rPr>
          <w:rFonts w:ascii="Courier New" w:cs="Courier New" w:eastAsia="Courier New" w:hAnsi="Courier New"/>
          <w:color w:val="1F4E5F"/>
          <w:shd w:fill="E9F2F4" w:val="clear"/>
        </w:rPr>
        <w:t xml:space="preserve">docs/EXPERIMENT_ARTIFACT_MATRIX.md</w:t>
      </w:r>
      <w:r>
        <w:t xml:space="preserve">, and collected through </w:t>
      </w:r>
      <w:r>
        <w:rPr>
          <w:rFonts w:ascii="Courier New" w:cs="Courier New" w:eastAsia="Courier New" w:hAnsi="Courier New"/>
          <w:color w:val="1F4E5F"/>
          <w:shd w:fill="E9F2F4" w:val="clear"/>
        </w:rPr>
        <w:t xml:space="preserve">docs/ARTIFACT_COLLECTION_GUIDE.md</w:t>
      </w:r>
      <w:r>
        <w:t xml:space="preserve">. The paper-facing artifact contract is intentionally strict:</w:t>
      </w:r>
    </w:p>
    <w:p>
      <w:pPr>
        <w:pStyle w:val="ListParagraph"/>
        <w:numPr>
          <w:ilvl w:val="0"/>
          <w:numId w:val="1"/>
        </w:numPr>
        <w:spacing w:after="60"/>
      </w:pPr>
      <w:r>
        <w:t xml:space="preserve">no manually typed scientific results in tables or figures;</w:t>
      </w:r>
    </w:p>
    <w:p>
      <w:pPr>
        <w:pStyle w:val="ListParagraph"/>
        <w:numPr>
          <w:ilvl w:val="0"/>
          <w:numId w:val="1"/>
        </w:numPr>
        <w:spacing w:after="60"/>
      </w:pPr>
      <w:r>
        <w:t xml:space="preserve">every paper artifact must derive from configuration, raw output, and code;</w:t>
      </w:r>
    </w:p>
    <w:p>
      <w:pPr>
        <w:pStyle w:val="ListParagraph"/>
        <w:numPr>
          <w:ilvl w:val="0"/>
          <w:numId w:val="1"/>
        </w:numPr>
        <w:spacing w:after="60"/>
      </w:pPr>
      <w:r>
        <w:t xml:space="preserve">synthetic plumbing must not be promoted into publication evidence;</w:t>
      </w:r>
    </w:p>
    <w:p>
      <w:pPr>
        <w:pStyle w:val="ListParagraph"/>
        <w:numPr>
          <w:ilvl w:val="0"/>
          <w:numId w:val="1"/>
        </w:numPr>
        <w:spacing w:after="60"/>
      </w:pPr>
      <w:r>
        <w:t xml:space="preserve">incomplete and inconclusive states must remain visible.</w:t>
      </w:r>
    </w:p>
    <w:p>
      <w:pPr>
        <w:widowControl/>
        <w:spacing w:after="120" w:line="280"/>
      </w:pPr>
      <w:r>
        <w:t xml:space="preserve">That contract matters because the current manuscript includes both evidence-bearing and non-evidence-bearing surfaces, and they must not be conflated.</w:t>
      </w:r>
    </w:p>
    <w:p>
      <w:pPr>
        <w:pStyle w:val="Heading1"/>
        <w:keepNext/>
      </w:pPr>
      <w:r>
        <w:t xml:space="preserve">6. Current evidence</w:t>
      </w:r>
    </w:p>
    <w:p>
      <w:pPr>
        <w:pStyle w:val="Heading2"/>
        <w:keepNext/>
      </w:pPr>
      <w:r>
        <w:t xml:space="preserve">6.1 Claim-level summary</w:t>
      </w:r>
    </w:p>
    <w:p>
      <w:pPr>
        <w:widowControl/>
        <w:spacing w:after="120" w:line="280"/>
      </w:pPr>
      <w:r>
        <w:t xml:space="preserve">The canonical claim matrix records C1 </w:t>
      </w:r>
      <w:r>
        <w:rPr>
          <w:rFonts w:ascii="Courier New" w:cs="Courier New" w:eastAsia="Courier New" w:hAnsi="Courier New"/>
          <w:color w:val="1F4E5F"/>
          <w:shd w:fill="E9F2F4" w:val="clear"/>
        </w:rPr>
        <w:t xml:space="preserve">INCONCLUSIVE</w:t>
      </w:r>
      <w:r>
        <w:t xml:space="preserve">, C2 </w:t>
      </w:r>
      <w:r>
        <w:rPr>
          <w:rFonts w:ascii="Courier New" w:cs="Courier New" w:eastAsia="Courier New" w:hAnsi="Courier New"/>
          <w:color w:val="1F4E5F"/>
          <w:shd w:fill="E9F2F4" w:val="clear"/>
        </w:rPr>
        <w:t xml:space="preserve">INCONCLUSIVE</w:t>
      </w:r>
      <w:r>
        <w:t xml:space="preserve">, E3 </w:t>
      </w:r>
      <w:r>
        <w:rPr>
          <w:rFonts w:ascii="Courier New" w:cs="Courier New" w:eastAsia="Courier New" w:hAnsi="Courier New"/>
          <w:color w:val="1F4E5F"/>
          <w:shd w:fill="E9F2F4" w:val="clear"/>
        </w:rPr>
        <w:t xml:space="preserve">WAITING_EXTERNAL</w:t>
      </w:r>
      <w:r>
        <w:t xml:space="preserve">, C4 </w:t>
      </w:r>
      <w:r>
        <w:rPr>
          <w:rFonts w:ascii="Courier New" w:cs="Courier New" w:eastAsia="Courier New" w:hAnsi="Courier New"/>
          <w:color w:val="1F4E5F"/>
          <w:shd w:fill="E9F2F4" w:val="clear"/>
        </w:rPr>
        <w:t xml:space="preserve">INCONCLUSIVE</w:t>
      </w:r>
      <w:r>
        <w:t xml:space="preserve">, C5 </w:t>
      </w:r>
      <w:r>
        <w:rPr>
          <w:rFonts w:ascii="Courier New" w:cs="Courier New" w:eastAsia="Courier New" w:hAnsi="Courier New"/>
          <w:color w:val="1F4E5F"/>
          <w:shd w:fill="E9F2F4" w:val="clear"/>
        </w:rPr>
        <w:t xml:space="preserve">SUPPORTED</w:t>
      </w:r>
      <w:r>
        <w:t xml:space="preserve"> within a declared simulation, C6 </w:t>
      </w:r>
      <w:r>
        <w:rPr>
          <w:rFonts w:ascii="Courier New" w:cs="Courier New" w:eastAsia="Courier New" w:hAnsi="Courier New"/>
          <w:color w:val="1F4E5F"/>
          <w:shd w:fill="E9F2F4" w:val="clear"/>
        </w:rPr>
        <w:t xml:space="preserve">SUPPORTED</w:t>
      </w:r>
      <w:r>
        <w:t xml:space="preserve"> within a declared simulation, E7 local boundedness </w:t>
      </w:r>
      <w:r>
        <w:rPr>
          <w:rFonts w:ascii="Courier New" w:cs="Courier New" w:eastAsia="Courier New" w:hAnsi="Courier New"/>
          <w:color w:val="1F4E5F"/>
          <w:shd w:fill="E9F2F4" w:val="clear"/>
        </w:rPr>
        <w:t xml:space="preserve">SUPPORTED</w:t>
      </w:r>
      <w:r>
        <w:t xml:space="preserve">, and E8 </w:t>
      </w:r>
      <w:r>
        <w:rPr>
          <w:rFonts w:ascii="Courier New" w:cs="Courier New" w:eastAsia="Courier New" w:hAnsi="Courier New"/>
          <w:color w:val="1F4E5F"/>
          <w:shd w:fill="E9F2F4" w:val="clear"/>
        </w:rPr>
        <w:t xml:space="preserve">INCONCLUSIVE</w:t>
      </w:r>
      <w:r>
        <w:t xml:space="preserve">. Those dispositions are non-compensating.</w:t>
      </w:r>
    </w:p>
    <w:p>
      <w:pPr>
        <w:pStyle w:val="Heading2"/>
        <w:keepNext/>
      </w:pPr>
      <w:r>
        <w:t xml:space="preserve">6.2 E1 and E2: bounded real-model pilots</w:t>
      </w:r>
    </w:p>
    <w:p>
      <w:pPr>
        <w:widowControl/>
        <w:spacing w:after="120" w:line="280"/>
      </w:pPr>
      <w:r>
        <w:t xml:space="preserve">E1 (T6, F5) is a fixed-order real-model pilot with two paired observations and six measured rows. The mean two-run baseline is 5197.17125 ms, the mean MPP single-pass measurement is 2678.932229 ms, and the paired delta is 2518.239021 ms with bootstrap interval [2440.923209, 2595.554833]. Fixed ordering leaves E1 </w:t>
      </w:r>
      <w:r>
        <w:rPr>
          <w:rFonts w:ascii="Courier New" w:cs="Courier New" w:eastAsia="Courier New" w:hAnsi="Courier New"/>
          <w:color w:val="1F4E5F"/>
          <w:shd w:fill="E9F2F4" w:val="clear"/>
        </w:rPr>
        <w:t xml:space="preserve">INCONCLUSIVE</w:t>
      </w:r>
      <w:r>
        <w:t xml:space="preserve">; this result cannot support a general C1 cost-advantage claim.</w:t>
      </w:r>
    </w:p>
    <w:p>
      <w:pPr>
        <w:widowControl/>
        <w:spacing w:after="120" w:line="280"/>
      </w:pPr>
      <w:r>
        <w:t xml:space="preserve">E2 (T7, F6) is a narrow real-model pilot. It records 4/4 detected attacked observations across three exact and one empirical floating-point surface, with Wilson interval [0.5101091635454027, 1.0], plus one honest control and no false positive. It remains </w:t>
      </w:r>
      <w:r>
        <w:rPr>
          <w:rFonts w:ascii="Courier New" w:cs="Courier New" w:eastAsia="Courier New" w:hAnsi="Courier New"/>
          <w:color w:val="1F4E5F"/>
          <w:shd w:fill="E9F2F4" w:val="clear"/>
        </w:rPr>
        <w:t xml:space="preserve">INCONCLUSIVE</w:t>
      </w:r>
      <w:r>
        <w:t xml:space="preserve">, not a general execution-audit efficacy claim.</w:t>
      </w:r>
    </w:p>
    <w:p>
      <w:pPr>
        <w:pStyle w:val="Heading2"/>
        <w:keepNext/>
      </w:pPr>
      <w:r>
        <w:t xml:space="preserve">6.3 E3-E6: authority boundary and declared simulations</w:t>
      </w:r>
    </w:p>
    <w:p>
      <w:pPr>
        <w:widowControl/>
        <w:spacing w:after="120" w:line="280"/>
      </w:pPr>
      <w:r>
        <w:t xml:space="preserve">E3 has no evidence artifact. T4, T8, and F7 are </w:t>
      </w:r>
      <w:r>
        <w:rPr>
          <w:rFonts w:ascii="Courier New" w:cs="Courier New" w:eastAsia="Courier New" w:hAnsi="Courier New"/>
          <w:color w:val="1F4E5F"/>
          <w:shd w:fill="E9F2F4" w:val="clear"/>
        </w:rPr>
        <w:t xml:space="preserve">WAITING_EXTERNAL</w:t>
      </w:r>
      <w:r>
        <w:t xml:space="preserve"> because external evaluator authority has not been supplied. Semantic performance must not be reported before that gate is resolved.</w:t>
      </w:r>
    </w:p>
    <w:p>
      <w:pPr>
        <w:widowControl/>
        <w:spacing w:after="120" w:line="280"/>
      </w:pPr>
      <w:r>
        <w:t xml:space="preserve">E4 (T9, F8) is an </w:t>
      </w:r>
      <w:r>
        <w:rPr>
          <w:rFonts w:ascii="Courier New" w:cs="Courier New" w:eastAsia="Courier New" w:hAnsi="Courier New"/>
          <w:color w:val="1F4E5F"/>
          <w:shd w:fill="E9F2F4" w:val="clear"/>
        </w:rPr>
        <w:t xml:space="preserve">INCONCLUSIVE</w:t>
      </w:r>
      <w:r>
        <w:t xml:space="preserve"> declared playback simulation, not executed reconstruction evidence. E5 (T10) is </w:t>
      </w:r>
      <w:r>
        <w:rPr>
          <w:rFonts w:ascii="Courier New" w:cs="Courier New" w:eastAsia="Courier New" w:hAnsi="Courier New"/>
          <w:color w:val="1F4E5F"/>
          <w:shd w:fill="E9F2F4" w:val="clear"/>
        </w:rPr>
        <w:t xml:space="preserve">SUPPORTED</w:t>
      </w:r>
      <w:r>
        <w:t xml:space="preserve"> only for its declared watcher/dispute-economic simulation scenarios and has no figure. E6 (T11, F9, F10) is </w:t>
      </w:r>
      <w:r>
        <w:rPr>
          <w:rFonts w:ascii="Courier New" w:cs="Courier New" w:eastAsia="Courier New" w:hAnsi="Courier New"/>
          <w:color w:val="1F4E5F"/>
          <w:shd w:fill="E9F2F4" w:val="clear"/>
        </w:rPr>
        <w:t xml:space="preserve">SUPPORTED</w:t>
      </w:r>
      <w:r>
        <w:t xml:space="preserve"> only for its declared Sybil/task-budget simulation scenarios. Neither E5 nor E6 supplies production or open-network evidence.</w:t>
      </w:r>
    </w:p>
    <w:p>
      <w:pPr>
        <w:pStyle w:val="Heading2"/>
        <w:keepNext/>
      </w:pPr>
      <w:r>
        <w:t xml:space="preserve">6.4 E7 and E8: local measurement and simulation</w:t>
      </w:r>
    </w:p>
    <w:p>
      <w:pPr>
        <w:widowControl/>
        <w:spacing w:after="120" w:line="280"/>
      </w:pPr>
      <w:r>
        <w:t xml:space="preserve">E7 (T12, F12) contains 15 </w:t>
      </w:r>
      <w:r>
        <w:rPr>
          <w:rFonts w:ascii="Courier New" w:cs="Courier New" w:eastAsia="Courier New" w:hAnsi="Courier New"/>
          <w:color w:val="1F4E5F"/>
          <w:shd w:fill="E9F2F4" w:val="clear"/>
        </w:rPr>
        <w:t xml:space="preserve">SUPPORTED</w:t>
      </w:r>
      <w:r>
        <w:t xml:space="preserve"> local Foundry measurements. The largest observed gas value is 467937 for </w:t>
      </w:r>
      <w:r>
        <w:rPr>
          <w:rFonts w:ascii="Courier New" w:cs="Courier New" w:eastAsia="Courier New" w:hAnsi="Courier New"/>
          <w:color w:val="1F4E5F"/>
          <w:shd w:fill="E9F2F4" w:val="clear"/>
        </w:rPr>
        <w:t xml:space="preserve">CREDIT_ALLOCATE</w:t>
      </w:r>
      <w:r>
        <w:t xml:space="preserve"> at batch size 8, and the maximum fraction of the configured block limit is 0.00043580029159784317. This supports local boundedness only; it does not establish Ethereum-mainnet economics, production throughput, or production consensus performance.</w:t>
      </w:r>
    </w:p>
    <w:p>
      <w:pPr>
        <w:widowControl/>
        <w:spacing w:after="120" w:line="280"/>
      </w:pPr>
      <w:r>
        <w:t xml:space="preserve">E8 (T13, F11) contains 10 </w:t>
      </w:r>
      <w:r>
        <w:rPr>
          <w:rFonts w:ascii="Courier New" w:cs="Courier New" w:eastAsia="Courier New" w:hAnsi="Courier New"/>
          <w:color w:val="1F4E5F"/>
          <w:shd w:fill="E9F2F4" w:val="clear"/>
        </w:rPr>
        <w:t xml:space="preserve">INCONCLUSIVE</w:t>
      </w:r>
      <w:r>
        <w:t xml:space="preserve"> reproducible-simulation rows. It may describe modeled receipt-to-weight dynamics, but it is not demonstrated consensus security.</w:t>
      </w:r>
    </w:p>
    <w:p>
      <w:pPr>
        <w:pStyle w:val="Heading1"/>
        <w:keepNext/>
      </w:pPr>
      <w:r>
        <w:t xml:space="preserve">7. Discussion</w:t>
      </w:r>
    </w:p>
    <w:p>
      <w:pPr>
        <w:pStyle w:val="Heading2"/>
        <w:keepNext/>
      </w:pPr>
      <w:r>
        <w:t xml:space="preserve">7.1 What the repository currently demonstrates</w:t>
      </w:r>
    </w:p>
    <w:p>
      <w:pPr>
        <w:widowControl/>
        <w:spacing w:after="120" w:line="280"/>
      </w:pPr>
      <w:r>
        <w:t xml:space="preserve">The repository currently demonstrates:</w:t>
      </w:r>
    </w:p>
    <w:p>
      <w:pPr>
        <w:pStyle w:val="ListParagraph"/>
        <w:numPr>
          <w:ilvl w:val="0"/>
          <w:numId w:val="1"/>
        </w:numPr>
        <w:spacing w:after="60"/>
      </w:pPr>
      <w:r>
        <w:t xml:space="preserve">a coherent reduction of the full PoI architecture into a bounded publication MPP;</w:t>
      </w:r>
    </w:p>
    <w:p>
      <w:pPr>
        <w:pStyle w:val="ListParagraph"/>
        <w:numPr>
          <w:ilvl w:val="0"/>
          <w:numId w:val="1"/>
        </w:numPr>
        <w:spacing w:after="60"/>
      </w:pPr>
      <w:r>
        <w:t xml:space="preserve">a fail-closed evidence kernel with explicit provenance, validation, and omission handling;</w:t>
      </w:r>
    </w:p>
    <w:p>
      <w:pPr>
        <w:pStyle w:val="ListParagraph"/>
        <w:numPr>
          <w:ilvl w:val="0"/>
          <w:numId w:val="1"/>
        </w:numPr>
        <w:spacing w:after="60"/>
      </w:pPr>
      <w:r>
        <w:t xml:space="preserve">Python-Solidity parity discipline for the implemented protocol kernel;</w:t>
      </w:r>
    </w:p>
    <w:p>
      <w:pPr>
        <w:pStyle w:val="ListParagraph"/>
        <w:numPr>
          <w:ilvl w:val="0"/>
          <w:numId w:val="1"/>
        </w:numPr>
        <w:spacing w:after="60"/>
      </w:pPr>
      <w:r>
        <w:t xml:space="preserve">local EVM boundedness evidence for the approved contract surfaces; and</w:t>
      </w:r>
    </w:p>
    <w:p>
      <w:pPr>
        <w:pStyle w:val="ListParagraph"/>
        <w:numPr>
          <w:ilvl w:val="0"/>
          <w:numId w:val="1"/>
        </w:numPr>
        <w:spacing w:after="60"/>
      </w:pPr>
      <w:r>
        <w:t xml:space="preserve">a reproducible simulation surface for next-epoch weight conversion.</w:t>
      </w:r>
    </w:p>
    <w:p>
      <w:pPr>
        <w:pStyle w:val="Heading2"/>
        <w:keepNext/>
      </w:pPr>
      <w:r>
        <w:t xml:space="preserve">7.2 What it does not yet demonstrate</w:t>
      </w:r>
    </w:p>
    <w:p>
      <w:pPr>
        <w:widowControl/>
        <w:spacing w:after="120" w:line="280"/>
      </w:pPr>
      <w:r>
        <w:t xml:space="preserve">The repository does not yet demonstrate:</w:t>
      </w:r>
    </w:p>
    <w:p>
      <w:pPr>
        <w:pStyle w:val="ListParagraph"/>
        <w:numPr>
          <w:ilvl w:val="0"/>
          <w:numId w:val="1"/>
        </w:numPr>
        <w:spacing w:after="60"/>
      </w:pPr>
      <w:r>
        <w:t xml:space="preserve">external-evaluator-authorized semantic confirmation for E3;</w:t>
      </w:r>
    </w:p>
    <w:p>
      <w:pPr>
        <w:pStyle w:val="ListParagraph"/>
        <w:numPr>
          <w:ilvl w:val="0"/>
          <w:numId w:val="1"/>
        </w:numPr>
        <w:spacing w:after="60"/>
      </w:pPr>
      <w:r>
        <w:t xml:space="preserve">a publication-freeze sentinel;</w:t>
      </w:r>
    </w:p>
    <w:p>
      <w:pPr>
        <w:pStyle w:val="ListParagraph"/>
        <w:numPr>
          <w:ilvl w:val="0"/>
          <w:numId w:val="1"/>
        </w:numPr>
        <w:spacing w:after="60"/>
      </w:pPr>
      <w:r>
        <w:t xml:space="preserve">authenticated independent manual review;</w:t>
      </w:r>
    </w:p>
    <w:p>
      <w:pPr>
        <w:pStyle w:val="ListParagraph"/>
        <w:numPr>
          <w:ilvl w:val="0"/>
          <w:numId w:val="1"/>
        </w:numPr>
        <w:spacing w:after="60"/>
      </w:pPr>
      <w:r>
        <w:t xml:space="preserve">70B or larger model validation;</w:t>
      </w:r>
    </w:p>
    <w:p>
      <w:pPr>
        <w:pStyle w:val="ListParagraph"/>
        <w:numPr>
          <w:ilvl w:val="0"/>
          <w:numId w:val="1"/>
        </w:numPr>
        <w:spacing w:after="60"/>
      </w:pPr>
      <w:r>
        <w:t xml:space="preserve">MoE or distributed production validation;</w:t>
      </w:r>
    </w:p>
    <w:p>
      <w:pPr>
        <w:pStyle w:val="ListParagraph"/>
        <w:numPr>
          <w:ilvl w:val="0"/>
          <w:numId w:val="1"/>
        </w:numPr>
        <w:spacing w:after="60"/>
      </w:pPr>
      <w:r>
        <w:t xml:space="preserve">confidential GPU or TEE execution evidence;</w:t>
      </w:r>
    </w:p>
    <w:p>
      <w:pPr>
        <w:pStyle w:val="ListParagraph"/>
        <w:numPr>
          <w:ilvl w:val="0"/>
          <w:numId w:val="1"/>
        </w:numPr>
        <w:spacing w:after="60"/>
      </w:pPr>
      <w:r>
        <w:t xml:space="preserve">a production-grade dispute VM;</w:t>
      </w:r>
    </w:p>
    <w:p>
      <w:pPr>
        <w:pStyle w:val="ListParagraph"/>
        <w:numPr>
          <w:ilvl w:val="0"/>
          <w:numId w:val="1"/>
        </w:numPr>
        <w:spacing w:after="60"/>
      </w:pPr>
      <w:r>
        <w:t xml:space="preserve">a production consensus client; or</w:t>
      </w:r>
    </w:p>
    <w:p>
      <w:pPr>
        <w:pStyle w:val="ListParagraph"/>
        <w:numPr>
          <w:ilvl w:val="0"/>
          <w:numId w:val="1"/>
        </w:numPr>
        <w:spacing w:after="60"/>
      </w:pPr>
      <w:r>
        <w:t xml:space="preserve">a frozen publication bundle with authenticated independent manual review.</w:t>
      </w:r>
    </w:p>
    <w:p>
      <w:pPr>
        <w:pStyle w:val="Heading1"/>
        <w:keepNext/>
      </w:pPr>
      <w:r>
        <w:t xml:space="preserve">8. Limitations and evidence-origin disclosure</w:t>
      </w:r>
    </w:p>
    <w:p>
      <w:pPr>
        <w:widowControl/>
        <w:spacing w:after="120" w:line="280"/>
      </w:pPr>
      <w:r>
        <w:t xml:space="preserve">This manuscript enforces five evidence-boundary disclosures.</w:t>
      </w:r>
    </w:p>
    <w:p>
      <w:pPr>
        <w:widowControl/>
        <w:spacing w:after="120" w:line="280"/>
      </w:pPr>
      <w:r>
        <w:t xml:space="preserve">First, score tables and unsupported percentages are omitted. The current repository state does not justify compensating aggregate scores across architecture, implementation, evidence, and readiness.</w:t>
      </w:r>
    </w:p>
    <w:p>
      <w:pPr>
        <w:widowControl/>
        <w:spacing w:after="120" w:line="280"/>
      </w:pPr>
      <w:r>
        <w:t xml:space="preserve">Second, novelty remains provisional. This repository contains architecture and artifact evidence, but it does not contain a reproducible strongest-prior-art search package or an independent novelty challenge sufficient to defend a stronger novelty claim.</w:t>
      </w:r>
    </w:p>
    <w:p>
      <w:pPr>
        <w:widowControl/>
        <w:spacing w:after="120" w:line="280"/>
      </w:pPr>
      <w:r>
        <w:t xml:space="preserve">Third, semantic claims are narrow. The implemented MPP is limited to objective and grounded tasks, not open-ended semantic competence.</w:t>
      </w:r>
    </w:p>
    <w:p>
      <w:pPr>
        <w:widowControl/>
        <w:spacing w:after="120" w:line="280"/>
      </w:pPr>
      <w:r>
        <w:t xml:space="preserve">Fourth, empirical support is heterogeneous. E1, E2, E4, and E8 are </w:t>
      </w:r>
      <w:r>
        <w:rPr>
          <w:rFonts w:ascii="Courier New" w:cs="Courier New" w:eastAsia="Courier New" w:hAnsi="Courier New"/>
          <w:color w:val="1F4E5F"/>
          <w:shd w:fill="E9F2F4" w:val="clear"/>
        </w:rPr>
        <w:t xml:space="preserve">INCONCLUSIVE</w:t>
      </w:r>
      <w:r>
        <w:t xml:space="preserve">; E5 and E6 are supported only within declared simulation scenarios; and E7 is supported only for local Foundry boundedness. E3 is evidence-absent and </w:t>
      </w:r>
      <w:r>
        <w:rPr>
          <w:rFonts w:ascii="Courier New" w:cs="Courier New" w:eastAsia="Courier New" w:hAnsi="Courier New"/>
          <w:color w:val="1F4E5F"/>
          <w:shd w:fill="E9F2F4" w:val="clear"/>
        </w:rPr>
        <w:t xml:space="preserve">WAITING_EXTERNAL</w:t>
      </w:r>
      <w:r>
        <w:t xml:space="preserve">.</w:t>
      </w:r>
    </w:p>
    <w:p>
      <w:pPr>
        <w:widowControl/>
        <w:spacing w:after="120" w:line="280"/>
      </w:pPr>
      <w:r>
        <w:t xml:space="preserve">Fifth, the canonical bundle remains not publication-ready because it preserves unresolved gates rather than relabeling them as success. External evaluator authority, authenticated independent manual review, and the publication-freeze sentinel remain required. Neither AI production nor user approval is independent review.</w:t>
      </w:r>
    </w:p>
    <w:p>
      <w:pPr>
        <w:pStyle w:val="Heading1"/>
        <w:keepNext/>
      </w:pPr>
      <w:r>
        <w:t xml:space="preserve">9. Deferred future phases</w:t>
      </w:r>
    </w:p>
    <w:p>
      <w:pPr>
        <w:widowControl/>
        <w:spacing w:after="120" w:line="280"/>
      </w:pPr>
      <w:r>
        <w:t xml:space="preserve">The following surfaces are deferred and should remain labeled as future work rather than current evidence:</w:t>
      </w:r>
    </w:p>
    <w:p>
      <w:pPr>
        <w:pStyle w:val="ListParagraph"/>
        <w:numPr>
          <w:ilvl w:val="0"/>
          <w:numId w:val="1"/>
        </w:numPr>
        <w:spacing w:after="60"/>
      </w:pPr>
      <w:r>
        <w:t xml:space="preserve">70B, 600B, and MoE execution validation;</w:t>
      </w:r>
    </w:p>
    <w:p>
      <w:pPr>
        <w:pStyle w:val="ListParagraph"/>
        <w:numPr>
          <w:ilvl w:val="0"/>
          <w:numId w:val="1"/>
        </w:numPr>
        <w:spacing w:after="60"/>
      </w:pPr>
      <w:r>
        <w:t xml:space="preserve">confidential or proprietary execution with GPU or TEE attestation;</w:t>
      </w:r>
    </w:p>
    <w:p>
      <w:pPr>
        <w:pStyle w:val="ListParagraph"/>
        <w:numPr>
          <w:ilvl w:val="0"/>
          <w:numId w:val="1"/>
        </w:numPr>
        <w:spacing w:after="60"/>
      </w:pPr>
      <w:r>
        <w:t xml:space="preserve">a production-grade dispute VM;</w:t>
      </w:r>
    </w:p>
    <w:p>
      <w:pPr>
        <w:pStyle w:val="ListParagraph"/>
        <w:numPr>
          <w:ilvl w:val="0"/>
          <w:numId w:val="1"/>
        </w:numPr>
        <w:spacing w:after="60"/>
      </w:pPr>
      <w:r>
        <w:t xml:space="preserve">production DA infrastructure;</w:t>
      </w:r>
    </w:p>
    <w:p>
      <w:pPr>
        <w:pStyle w:val="ListParagraph"/>
        <w:numPr>
          <w:ilvl w:val="0"/>
          <w:numId w:val="1"/>
        </w:numPr>
        <w:spacing w:after="60"/>
      </w:pPr>
      <w:r>
        <w:t xml:space="preserve">weighted BFT integration in a production consensus client;</w:t>
      </w:r>
    </w:p>
    <w:p>
      <w:pPr>
        <w:pStyle w:val="ListParagraph"/>
        <w:numPr>
          <w:ilvl w:val="0"/>
          <w:numId w:val="1"/>
        </w:numPr>
        <w:spacing w:after="60"/>
      </w:pPr>
      <w:r>
        <w:t xml:space="preserve">independent cryptographic, semantic, contract, and economic audits; and</w:t>
      </w:r>
    </w:p>
    <w:p>
      <w:pPr>
        <w:pStyle w:val="ListParagraph"/>
        <w:numPr>
          <w:ilvl w:val="0"/>
          <w:numId w:val="1"/>
        </w:numPr>
        <w:spacing w:after="60"/>
      </w:pPr>
      <w:r>
        <w:t xml:space="preserve">a fully frozen publication bundle with authenticated external manual review.</w:t>
      </w:r>
    </w:p>
    <w:p>
      <w:pPr>
        <w:pStyle w:val="Heading1"/>
        <w:keepNext/>
      </w:pPr>
      <w:r>
        <w:t xml:space="preserve">10. Conclusion</w:t>
      </w:r>
    </w:p>
    <w:p>
      <w:pPr>
        <w:widowControl/>
        <w:spacing w:after="120" w:line="280"/>
      </w:pPr>
      <w:r>
        <w:t xml:space="preserve">The proposed PoI architecture addresses a real systems problem: how to make useful AI responses auditable without requiring a second full frontier-model execution or a full common-path proof for each accepted response. The architecture combines response commitment, execution and semantic audit surfaces, post-commit randomness, optimistic dispute, DA retention, bounded task credit, and EVM-compatible receipt management into a coherent protocol proposal.</w:t>
      </w:r>
    </w:p>
    <w:p>
      <w:pPr>
        <w:widowControl/>
        <w:spacing w:after="120" w:line="280"/>
      </w:pPr>
      <w:r>
        <w:t xml:space="preserve">The current repository substantiates that this architecture can be reduced into a disciplined first-publication MPP. The strongest present repository-grounded result is local EVM boundedness (E7). E1 and E2 have canonical but inconclusive real-model pilot artifacts; E4 and E8 are inconclusive simulations; E5 and E6 are supported only within their declared simulations; and E3 remains blocked for external authority. The manuscript must preserve each boundary.</w:t>
      </w:r>
    </w:p>
    <w:p>
      <w:pPr>
        <w:widowControl/>
        <w:spacing w:after="120" w:line="280"/>
      </w:pPr>
      <w:r>
        <w:t xml:space="preserve">The correct current interpretation is therefore not that the architecture is fully validated, and not that it is merely conceptual. It is that a coherent PoI MPP has been implemented with strong fail-closed artifact discipline, while the central publication evidence package remains only partially complete.</w:t>
      </w:r>
    </w:p>
    <w:p>
      <w:pPr>
        <w:pStyle w:val="Heading1"/>
        <w:keepNext/>
      </w:pPr>
      <w:r>
        <w:t xml:space="preserve">Artifact callouts for manuscript integration</w:t>
      </w:r>
    </w:p>
    <w:p>
      <w:pPr>
        <w:pStyle w:val="Heading2"/>
        <w:keepNext/>
      </w:pPr>
      <w:r>
        <w:t xml:space="preserve">Conceptual figures</w:t>
      </w:r>
    </w:p>
    <w:p>
      <w:pPr>
        <w:pStyle w:val="ListParagraph"/>
        <w:numPr>
          <w:ilvl w:val="0"/>
          <w:numId w:val="1"/>
        </w:numPr>
        <w:spacing w:after="60"/>
      </w:pPr>
      <w:r>
        <w:t xml:space="preserve">F1 architecture source: </w:t>
      </w:r>
      <w:r>
        <w:rPr>
          <w:rFonts w:ascii="Courier New" w:cs="Courier New" w:eastAsia="Courier New" w:hAnsi="Courier New"/>
          <w:color w:val="1F4E5F"/>
          <w:shd w:fill="E9F2F4" w:val="clear"/>
        </w:rPr>
        <w:t xml:space="preserve">docs/diagrams/D1_system_architecture.mmd</w:t>
      </w:r>
    </w:p>
    <w:p>
      <w:pPr>
        <w:pStyle w:val="ListParagraph"/>
        <w:numPr>
          <w:ilvl w:val="0"/>
          <w:numId w:val="1"/>
        </w:numPr>
        <w:spacing w:after="60"/>
      </w:pPr>
      <w:r>
        <w:t xml:space="preserve">F2 SPAI sequence source: </w:t>
      </w:r>
      <w:r>
        <w:rPr>
          <w:rFonts w:ascii="Courier New" w:cs="Courier New" w:eastAsia="Courier New" w:hAnsi="Courier New"/>
          <w:color w:val="1F4E5F"/>
          <w:shd w:fill="E9F2F4" w:val="clear"/>
        </w:rPr>
        <w:t xml:space="preserve">docs/diagrams/D2_spai_sequence.mmd</w:t>
      </w:r>
    </w:p>
    <w:p>
      <w:pPr>
        <w:pStyle w:val="ListParagraph"/>
        <w:numPr>
          <w:ilvl w:val="0"/>
          <w:numId w:val="1"/>
        </w:numPr>
        <w:spacing w:after="60"/>
      </w:pPr>
      <w:r>
        <w:t xml:space="preserve">F3 receipt and audit-compiler sources: </w:t>
      </w:r>
      <w:r>
        <w:rPr>
          <w:rFonts w:ascii="Courier New" w:cs="Courier New" w:eastAsia="Courier New" w:hAnsi="Courier New"/>
          <w:color w:val="1F4E5F"/>
          <w:shd w:fill="E9F2F4" w:val="clear"/>
        </w:rPr>
        <w:t xml:space="preserve">docs/diagrams/D3_receipt_state.mmd</w:t>
      </w:r>
      <w:r>
        <w:t xml:space="preserve"> and </w:t>
      </w:r>
      <w:r>
        <w:rPr>
          <w:rFonts w:ascii="Courier New" w:cs="Courier New" w:eastAsia="Courier New" w:hAnsi="Courier New"/>
          <w:color w:val="1F4E5F"/>
          <w:shd w:fill="E9F2F4" w:val="clear"/>
        </w:rPr>
        <w:t xml:space="preserve">docs/diagrams/D4_audit_compiler.mmd</w:t>
      </w:r>
    </w:p>
    <w:p>
      <w:pPr>
        <w:pStyle w:val="ListParagraph"/>
        <w:numPr>
          <w:ilvl w:val="0"/>
          <w:numId w:val="1"/>
        </w:numPr>
        <w:spacing w:after="60"/>
      </w:pPr>
      <w:r>
        <w:t xml:space="preserve">F4 semantic pipeline source: </w:t>
      </w:r>
      <w:r>
        <w:rPr>
          <w:rFonts w:ascii="Courier New" w:cs="Courier New" w:eastAsia="Courier New" w:hAnsi="Courier New"/>
          <w:color w:val="1F4E5F"/>
          <w:shd w:fill="E9F2F4" w:val="clear"/>
        </w:rPr>
        <w:t xml:space="preserve">docs/diagrams/D6_semantic_audit.mmd</w:t>
      </w:r>
    </w:p>
    <w:p>
      <w:pPr>
        <w:pStyle w:val="Heading2"/>
        <w:keepNext/>
      </w:pPr>
      <w:r>
        <w:t xml:space="preserve">Algorithms</w:t>
      </w:r>
    </w:p>
    <w:p>
      <w:pPr>
        <w:pStyle w:val="ListParagraph"/>
        <w:numPr>
          <w:ilvl w:val="0"/>
          <w:numId w:val="1"/>
        </w:numPr>
        <w:spacing w:after="60"/>
      </w:pPr>
      <w:r>
        <w:t xml:space="preserve">Algorithm 1: </w:t>
      </w:r>
      <w:r>
        <w:rPr>
          <w:rFonts w:ascii="Courier New" w:cs="Courier New" w:eastAsia="Courier New" w:hAnsi="Courier New"/>
          <w:color w:val="1F4E5F"/>
          <w:shd w:fill="E9F2F4" w:val="clear"/>
        </w:rPr>
        <w:t xml:space="preserve">docs/algorithms/A1_SPAI.md</w:t>
      </w:r>
    </w:p>
    <w:p>
      <w:pPr>
        <w:pStyle w:val="ListParagraph"/>
        <w:numPr>
          <w:ilvl w:val="0"/>
          <w:numId w:val="1"/>
        </w:numPr>
        <w:spacing w:after="60"/>
      </w:pPr>
      <w:r>
        <w:t xml:space="preserve">Algorithm 2: </w:t>
      </w:r>
      <w:r>
        <w:rPr>
          <w:rFonts w:ascii="Courier New" w:cs="Courier New" w:eastAsia="Courier New" w:hAnsi="Courier New"/>
          <w:color w:val="1F4E5F"/>
          <w:shd w:fill="E9F2F4" w:val="clear"/>
        </w:rPr>
        <w:t xml:space="preserve">docs/algorithms/A2_AuditCompiler.md</w:t>
      </w:r>
    </w:p>
    <w:p>
      <w:pPr>
        <w:pStyle w:val="ListParagraph"/>
        <w:numPr>
          <w:ilvl w:val="0"/>
          <w:numId w:val="1"/>
        </w:numPr>
        <w:spacing w:after="60"/>
      </w:pPr>
      <w:r>
        <w:t xml:space="preserve">Algorithm 3: </w:t>
      </w:r>
      <w:r>
        <w:rPr>
          <w:rFonts w:ascii="Courier New" w:cs="Courier New" w:eastAsia="Courier New" w:hAnsi="Courier New"/>
          <w:color w:val="1F4E5F"/>
          <w:shd w:fill="E9F2F4" w:val="clear"/>
        </w:rPr>
        <w:t xml:space="preserve">docs/algorithms/A3_VerifySPAIEvent.md</w:t>
      </w:r>
    </w:p>
    <w:p>
      <w:pPr>
        <w:pStyle w:val="ListParagraph"/>
        <w:numPr>
          <w:ilvl w:val="0"/>
          <w:numId w:val="1"/>
        </w:numPr>
        <w:spacing w:after="60"/>
      </w:pPr>
      <w:r>
        <w:t xml:space="preserve">Algorithm 4: </w:t>
      </w:r>
      <w:r>
        <w:rPr>
          <w:rFonts w:ascii="Courier New" w:cs="Courier New" w:eastAsia="Courier New" w:hAnsi="Courier New"/>
          <w:color w:val="1F4E5F"/>
          <w:shd w:fill="E9F2F4" w:val="clear"/>
        </w:rPr>
        <w:t xml:space="preserve">docs/algorithms/A4_PoI_Credit.md</w:t>
      </w:r>
    </w:p>
    <w:p>
      <w:pPr>
        <w:pStyle w:val="ListParagraph"/>
        <w:numPr>
          <w:ilvl w:val="0"/>
          <w:numId w:val="1"/>
        </w:numPr>
        <w:spacing w:after="60"/>
      </w:pPr>
      <w:r>
        <w:t xml:space="preserve">Algorithm 5: </w:t>
      </w:r>
      <w:r>
        <w:rPr>
          <w:rFonts w:ascii="Courier New" w:cs="Courier New" w:eastAsia="Courier New" w:hAnsi="Courier New"/>
          <w:color w:val="1F4E5F"/>
          <w:shd w:fill="E9F2F4" w:val="clear"/>
        </w:rPr>
        <w:t xml:space="preserve">docs/algorithms/A5_Optimistic_Dispute.md</w:t>
      </w:r>
    </w:p>
    <w:p>
      <w:pPr>
        <w:pStyle w:val="Heading2"/>
        <w:keepNext/>
      </w:pPr>
      <w:r>
        <w:t xml:space="preserve">Current quantitative publication artifacts</w:t>
      </w:r>
    </w:p>
    <w:p>
      <w:pPr>
        <w:widowControl/>
        <w:spacing w:after="120" w:line="280"/>
      </w:pPr>
      <w:r>
        <w:t xml:space="preserve">The attached canonical publication bundle is rooted at </w:t>
      </w:r>
      <w:r>
        <w:rPr>
          <w:rFonts w:ascii="Courier New" w:cs="Courier New" w:eastAsia="Courier New" w:hAnsi="Courier New"/>
          <w:color w:val="1F4E5F"/>
          <w:shd w:fill="E9F2F4" w:val="clear"/>
        </w:rPr>
        <w:t xml:space="preserve">publication/artifact_manifest.json</w:t>
      </w:r>
      <w:r>
        <w:t xml:space="preserve"> with SHA-256 </w:t>
      </w:r>
      <w:r>
        <w:rPr>
          <w:rFonts w:ascii="Courier New" w:cs="Courier New" w:eastAsia="Courier New" w:hAnsi="Courier New"/>
          <w:color w:val="1F4E5F"/>
          <w:shd w:fill="E9F2F4" w:val="clear"/>
        </w:rPr>
        <w:t xml:space="preserve">9c5d914d4a1eca35589bacf0a889da86adef7027a17d19612ce8ef2b49525bad</w:t>
      </w:r>
      <w:r>
        <w:t xml:space="preserve">. It includes the claim matrix, omission ledger, and E1, E2, E4-E8 artifacts. Its presence does not authorize submission: E3 authority, authenticated independent manual review, and the publication-freeze sentinel remain open gates.</w:t>
      </w:r>
    </w:p>
    <w:p>
      <w:pPr>
        <w:pStyle w:val="Heading1"/>
        <w:keepNext/>
      </w:pPr>
      <w:r>
        <w:t xml:space="preserve">References</w:t>
      </w:r>
    </w:p>
    <w:p>
      <w:pPr>
        <w:widowControl/>
        <w:spacing w:after="120" w:line="280"/>
      </w:pPr>
      <w:r>
        <w:t xml:space="preserve">[1] K. D. Conway, C. So, X. Yu, and K. Wong. “opML: Optimistic Machine Learning on Blockchain.” arXiv:2401.17555, 2024.</w:t>
      </w:r>
    </w:p>
    <w:p>
      <w:pPr>
        <w:widowControl/>
        <w:spacing w:after="120" w:line="280"/>
      </w:pPr>
      <w:r>
        <w:t xml:space="preserve">[2] Optimism Collective. “Fault Proof.” OP Stack Specification, accessed August 23, 2026.</w:t>
      </w:r>
    </w:p>
    <w:p>
      <w:pPr>
        <w:widowControl/>
        <w:spacing w:after="120" w:line="280"/>
      </w:pPr>
      <w:r>
        <w:t xml:space="preserve">[3] A. Chan, A. Ding, F. Chen, A. Wu, B. Zhang, and A. Tian. “Optimistic TEE-Rollups: A Hybrid Architecture for Scalable and Verifiable Generative AI Inference on Blockchain.” arXiv:2512.20176, 2025.</w:t>
      </w:r>
    </w:p>
    <w:p>
      <w:pPr>
        <w:widowControl/>
        <w:spacing w:after="120" w:line="280"/>
      </w:pPr>
      <w:r>
        <w:t xml:space="preserve">[4] NVIDIA. “Attestation and Key-Release Flow.” In </w:t>
      </w:r>
      <w:r>
        <w:rPr>
          <w:i/>
          <w:iCs/>
        </w:rPr>
        <w:t xml:space="preserve">Deploying Proprietary Models Securely with NVIDIA Confidential Computing on Self-Hosted Virtual Machines</w:t>
      </w:r>
      <w:r>
        <w:t xml:space="preserve">, updated June 4, 2026.</w:t>
      </w:r>
    </w:p>
    <w:p>
      <w:pPr>
        <w:widowControl/>
        <w:spacing w:after="120" w:line="280"/>
      </w:pPr>
      <w:r>
        <w:t xml:space="preserve">[5] LambdaClass. “CommitLLM.” Official project repository and engineering documentation, accessed August 23, 2026. Grey literature.</w:t>
      </w:r>
    </w:p>
    <w:p>
      <w:pPr>
        <w:widowControl/>
        <w:spacing w:after="120" w:line="280"/>
      </w:pPr>
      <w:r>
        <w:t xml:space="preserve">[6] H. Ji, M. Mascagni, and Y. Li. “Gaussian Variant of Freivalds’ Algorithm for Efficient and Reliable Matrix Product Verification.” arXiv:1705.10449, 2017.</w:t>
      </w:r>
    </w:p>
    <w:p>
      <w:pPr>
        <w:widowControl/>
        <w:spacing w:after="120" w:line="280"/>
      </w:pPr>
      <w:r>
        <w:t xml:space="preserve">[7] Intel Trust Authority. “GPU Remote Attestation with Intel Trust Authority.” Official documentation, updated June 16, 2026.</w:t>
      </w:r>
    </w:p>
    <w:p>
      <w:pPr>
        <w:widowControl/>
        <w:spacing w:after="120" w:line="280"/>
      </w:pPr>
      <w:r>
        <w:t xml:space="preserve">[8] D. Ribeiro Alves, V. Patankar, M. Pereira, J. Stephens, N. Vaziri, and S. Kannan. “EigenAI: Deterministic Inference, Verifiable Results.” arXiv:2602.00182, 2026.</w:t>
      </w:r>
    </w:p>
    <w:p>
      <w:pPr>
        <w:widowControl/>
        <w:spacing w:after="120" w:line="280"/>
      </w:pPr>
      <w:r>
        <w:t xml:space="preserve">[9] W. Qu, Y. Sun, X. Liu, T. Lu, Y. Guo, K. Chen, and J. Zhang. “zkGPT: An Efficient Non-interactive Zero-knowledge Proof Framework for LLM Inference.” In </w:t>
      </w:r>
      <w:r>
        <w:rPr>
          <w:i/>
          <w:iCs/>
        </w:rPr>
        <w:t xml:space="preserve">Proceedings of the 34th USENIX Security Symposium (USENIX Security 25)</w:t>
      </w:r>
      <w:r>
        <w:t xml:space="preserve">, 2025.</w:t>
      </w:r>
    </w:p>
    <w:p>
      <w:pPr>
        <w:widowControl/>
        <w:spacing w:after="120" w:line="280"/>
      </w:pPr>
      <w:r>
        <w:t xml:space="preserve">[10] Z. Peng, C. Zhao, T. Wang, G. Liao, Z. Lin, Y. Liu, B. Cao, L. Shi, Q. Yang, and S. Zhang. “A Survey of Zero-Knowledge Proof Based Verifiable Machine Learning.” </w:t>
      </w:r>
      <w:r>
        <w:rPr>
          <w:i/>
          <w:iCs/>
        </w:rPr>
        <w:t xml:space="preserve">Artificial Intelligence Review</w:t>
      </w:r>
      <w:r>
        <w:t xml:space="preserve"> 59, 157 (2026).</w:t>
      </w:r>
    </w:p>
    <w:p>
      <w:pPr>
        <w:widowControl/>
        <w:spacing w:after="120" w:line="280"/>
      </w:pPr>
      <w:r>
        <w:t xml:space="preserve">[11] Hearth. “A Verified-Inference Layer-1 Secured by Proof of Inference.” Source-carried draft whitepaper reference, July 2026. Grey literature; stable official primary source not verified in this manuscript pass.</w:t>
      </w:r>
    </w:p>
    <w:p>
      <w:pPr>
        <w:widowControl/>
        <w:spacing w:after="120" w:line="280"/>
      </w:pPr>
      <w:r>
        <w:t xml:space="preserve">[12] Ambient. “Litepaper: Proof of Logits &amp; Verified Inference,” together with official product documentation describing “machine intelligence as currency,” accessed August 23, 2026. Grey literature.</w:t>
      </w:r>
    </w:p>
    <w:p>
      <w:pPr>
        <w:widowControl/>
        <w:spacing w:after="120" w:line="280"/>
      </w:pPr>
      <w:r>
        <w:t xml:space="preserve">[13] M. Yu, S. Sahraei, S. Li, S. Avestimehr, S. Kannan, and P. Viswanath. “Coded Merkle Tree: Solving Data Availability Attacks in Blockchains.” In </w:t>
      </w:r>
      <w:r>
        <w:rPr>
          <w:i/>
          <w:iCs/>
        </w:rPr>
        <w:t xml:space="preserve">Financial Cryptography and Data Security (FC 2020)</w:t>
      </w:r>
      <w:r>
        <w:t xml:space="preserve">, LNCS 12059, pp. 114-134, 2020.</w:t>
      </w:r>
    </w:p>
    <w:p>
      <w:pPr>
        <w:widowControl/>
        <w:spacing w:after="120" w:line="280"/>
      </w:pPr>
      <w:r>
        <w:t xml:space="preserve">[14] M. Yin, D. Malkhi, M. K. Reiter, G. G. Gueta, and I. Abraham. “HotStuff: BFT Consensus with Linearity and Responsiveness.” In </w:t>
      </w:r>
      <w:r>
        <w:rPr>
          <w:i/>
          <w:iCs/>
        </w:rPr>
        <w:t xml:space="preserve">Proceedings of the 2019 ACM Symposium on Principles of Distributed Computing (PODC 2019)</w:t>
      </w:r>
      <w:r>
        <w:t xml:space="preserve">, pp. 347-356, 2019.</w:t>
      </w:r>
    </w:p>
    <w:p>
      <w:pPr>
        <w:widowControl/>
        <w:spacing w:after="120" w:line="280"/>
      </w:pPr>
      <w:r>
        <w:t xml:space="preserve">[15] Ethereum.org. “Node Architecture” and “Consensus Mechanisms,” accessed August 23, 2026.</w:t>
      </w:r>
    </w:p>
    <w:sectPr>
      <w:headerReference w:type="default" r:id="rId7"/>
      <w:footerReference w:type="default" r:id="rId8"/>
      <w:pgSz w:w="11906" w:h="16838" w:orient="portrait"/>
      <w:pgMar w:top="900" w:right="900" w:bottom="900" w:left="90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7D89"/>
        <w:sz w:val="17"/>
        <w:szCs w:val="17"/>
      </w:rPr>
      <w:t xml:space="preserve">Not publication-ready  •  Page </w:t>
    </w:r>
    <w:r>
      <w:rPr>
        <w:color w:val="607D8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7B7BE" w:sz="2"/>
      </w:pBdr>
      <w:jc w:val="right"/>
    </w:pPr>
    <w:r>
      <w:rPr>
        <w:color w:val="607D89"/>
        <w:sz w:val="17"/>
        <w:szCs w:val="17"/>
      </w:rPr>
      <w:t xml:space="preserve">PoI MPP | Evidence-bound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A2E"/>
        <w:sz w:val="21"/>
        <w:szCs w:val="21"/>
      </w:rPr>
    </w:rPrDefault>
    <w:pPrDefault/>
  </w:docDefaults>
  <w:style w:type="paragraph" w:styleId="Title">
    <w:name w:val="Title"/>
    <w:basedOn w:val="Normal"/>
    <w:next w:val="Normal"/>
    <w:qFormat/>
    <w:pPr>
      <w:spacing w:after="260"/>
    </w:pPr>
    <w:rPr>
      <w:rFonts w:ascii="Arial" w:cs="Arial" w:eastAsia="Arial" w:hAnsi="Arial"/>
      <w:b/>
      <w:bCs/>
      <w:color w:val="173B4A"/>
      <w:sz w:val="34"/>
      <w:szCs w:val="34"/>
    </w:rPr>
  </w:style>
  <w:style w:type="paragraph" w:styleId="Heading1">
    <w:name w:val="Heading 1"/>
    <w:basedOn w:val="Normal"/>
    <w:next w:val="Normal"/>
    <w:qFormat/>
    <w:pPr>
      <w:spacing w:after="140" w:before="300"/>
    </w:pPr>
    <w:rPr>
      <w:rFonts w:ascii="Arial" w:cs="Arial" w:eastAsia="Arial" w:hAnsi="Arial"/>
      <w:b/>
      <w:bCs/>
      <w:color w:val="173B4A"/>
      <w:sz w:val="30"/>
      <w:szCs w:val="30"/>
    </w:rPr>
  </w:style>
  <w:style w:type="paragraph" w:styleId="Heading2">
    <w:name w:val="Heading 2"/>
    <w:basedOn w:val="Normal"/>
    <w:next w:val="Normal"/>
    <w:qFormat/>
    <w:pPr>
      <w:spacing w:after="100" w:before="240"/>
    </w:pPr>
    <w:rPr>
      <w:rFonts w:ascii="Arial" w:cs="Arial" w:eastAsia="Arial" w:hAnsi="Arial"/>
      <w:b/>
      <w:bCs/>
      <w:color w:val="24586B"/>
      <w:sz w:val="25"/>
      <w:szCs w:val="25"/>
    </w:rPr>
  </w:style>
  <w:style w:type="paragraph" w:styleId="Heading3">
    <w:name w:val="Heading 3"/>
    <w:basedOn w:val="Normal"/>
    <w:next w:val="Normal"/>
    <w:qFormat/>
    <w:pPr>
      <w:spacing w:after="80" w:before="180"/>
    </w:pPr>
    <w:rPr>
      <w:rFonts w:ascii="Arial" w:cs="Arial" w:eastAsia="Arial" w:hAnsi="Arial"/>
      <w:b/>
      <w:bCs/>
      <w:color w:val="3E7081"/>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 of Intelligence Consensus Architecture — Evidence-bound MPP draft</dc:title>
  <dc:subject>Canonical manuscript export; not publication-ready</dc:subject>
  <dc:creator>PoI MPP publication artifact pipeline</dc:creator>
  <dc:description>Generated from docs/paper_artifacts/final/manuscript/POI_SUBMISSION_MANUSCRIPT.md and canonical manifest 9c5d914d4a1eca35589bacf0a889da86adef7027a17d19612ce8ef2b49525bad</dc:description>
  <cp:lastModifiedBy>Un-named</cp:lastModifiedBy>
  <cp:revision>1</cp:revision>
  <dcterms:created xsi:type="dcterms:W3CDTF">2026-08-23T05:11:32.632Z</dcterms:created>
  <dcterms:modified xsi:type="dcterms:W3CDTF">2026-08-23T05:11:32.633Z</dcterms:modified>
</cp:coreProperties>
</file>

<file path=docProps/custom.xml><?xml version="1.0" encoding="utf-8"?>
<Properties xmlns="http://schemas.openxmlformats.org/officeDocument/2006/custom-properties" xmlns:vt="http://schemas.openxmlformats.org/officeDocument/2006/docPropsVTypes"/>
</file>