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6B6570"/>
          <w:spacing w:val="60"/>
          <w:sz w:val="18"/>
          <w:szCs w:val="18"/>
        </w:rPr>
        <w:t xml:space="preserve">RESTITUTION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1B23"/>
          <w:sz w:val="44"/>
          <w:szCs w:val="44"/>
        </w:rPr>
        <w:t xml:space="preserve">Parcours </w:t>
      </w:r>
      <w:r>
        <w:rPr>
          <w:rFonts w:ascii="Calibri" w:cs="Calibri" w:eastAsia="Calibri" w:hAnsi="Calibri"/>
          <w:b/>
          <w:bCs/>
          <w:color w:val="B9701C"/>
          <w:sz w:val="44"/>
          <w:szCs w:val="44"/>
        </w:rPr>
        <w:t xml:space="preserve">UX/UI</w:t>
      </w:r>
    </w:p>
    <w:p>
      <w:pPr>
        <w:spacing w:after="30"/>
      </w:pPr>
      <w:r>
        <w:rPr>
          <w:rFonts w:ascii="Calibri" w:cs="Calibri" w:eastAsia="Calibri" w:hAnsi="Calibri"/>
          <w:color w:val="6B6570"/>
          <w:sz w:val="22"/>
          <w:szCs w:val="22"/>
        </w:rPr>
        <w:t xml:space="preserve">Outil de suivi partagé — accompagnement d’une montée en compétence</w:t>
      </w:r>
    </w:p>
    <w:p>
      <w:pPr>
        <w:pBdr>
          <w:bottom w:val="single" w:color="D9D6DB" w:sz="6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color w:val="2A2530"/>
          <w:sz w:val="21"/>
          <w:szCs w:val="21"/>
        </w:rPr>
        <w:t xml:space="preserve">Application web de suivi d’un parcours de formation individuel. Une page unique affiche les étapes, leurs jalons et les tâches associées ; la personne accompagnée coche son avancement et dépose ses livrables, l’encadrant et les référents consultent la progression en temps réel. </w:t>
      </w:r>
      <w:r>
        <w:rPr>
          <w:rFonts w:ascii="Calibri" w:cs="Calibri" w:eastAsia="Calibri" w:hAnsi="Calibri"/>
          <w:b/>
          <w:bCs/>
          <w:color w:val="2A2530"/>
          <w:sz w:val="21"/>
          <w:szCs w:val="21"/>
        </w:rPr>
        <w:t xml:space="preserve">Conçue comme un module reproductible</w:t>
      </w:r>
      <w:r>
        <w:rPr>
          <w:rFonts w:ascii="Calibri" w:cs="Calibri" w:eastAsia="Calibri" w:hAnsi="Calibri"/>
          <w:color w:val="2A2530"/>
          <w:sz w:val="21"/>
          <w:szCs w:val="21"/>
        </w:rPr>
        <w:t xml:space="preserve"> : le même code sert autant de parcours que nécessaire, un déploiement par personne.</w:t>
      </w:r>
    </w:p>
    <w:tbl>
      <w:tblPr>
        <w:tblW w:type="dxa" w:w="9360"/>
        <w:tblBorders>
          <w:top w:val="single" w:color="D9D6DB" w:sz="4"/>
          <w:left w:val="single" w:color="D9D6DB" w:sz="4"/>
          <w:bottom w:val="single" w:color="D9D6DB" w:sz="4"/>
          <w:right w:val="single" w:color="D9D6DB" w:sz="4"/>
          <w:insideH w:val="single" w:color="D9D6DB" w:sz="4"/>
          <w:insideV w:val="single" w:color="D9D6DB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1B2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Nature</w:t>
            </w:r>
          </w:p>
        </w:tc>
        <w:tc>
          <w:tcPr>
            <w:tcW w:type="dxa" w:w="7160"/>
            <w:shd w:fill="1F1B2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Page web autonome + fonction serveur + base clé-valeur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530"/>
                <w:sz w:val="19"/>
                <w:szCs w:val="19"/>
              </w:rPr>
              <w:t xml:space="preserve">Pile</w:t>
            </w:r>
          </w:p>
        </w:tc>
        <w:tc>
          <w:tcPr>
            <w:tcW w:type="dxa" w:w="7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530"/>
                <w:sz w:val="19"/>
                <w:szCs w:val="19"/>
              </w:rPr>
              <w:t xml:space="preserve">HTML / CSS / JavaScript natifs — sans framework, sans étape de build</w:t>
            </w:r>
          </w:p>
        </w:tc>
      </w:tr>
      <w:tr>
        <w:trPr>
          <w:tblHeader w:val="false"/>
        </w:trPr>
        <w:tc>
          <w:tcPr>
            <w:tcW w:type="dxa" w:w="2200"/>
            <w:shd w:fill="F4F2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530"/>
                <w:sz w:val="19"/>
                <w:szCs w:val="19"/>
              </w:rPr>
              <w:t xml:space="preserve">Hébergement</w:t>
            </w:r>
          </w:p>
        </w:tc>
        <w:tc>
          <w:tcPr>
            <w:tcW w:type="dxa" w:w="7160"/>
            <w:shd w:fill="F4F2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530"/>
                <w:sz w:val="19"/>
                <w:szCs w:val="19"/>
              </w:rPr>
              <w:t xml:space="preserve">Vercel (statique + serverless) · base Upstash Redis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530"/>
                <w:sz w:val="19"/>
                <w:szCs w:val="19"/>
              </w:rPr>
              <w:t xml:space="preserve">Charge estimée</w:t>
            </w:r>
          </w:p>
        </w:tc>
        <w:tc>
          <w:tcPr>
            <w:tcW w:type="dxa" w:w="7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530"/>
                <w:sz w:val="19"/>
                <w:szCs w:val="19"/>
              </w:rPr>
              <w:t xml:space="preserve">≈ 3 jours-homme équivalents (réalisé en IA-assisté)</w:t>
            </w:r>
          </w:p>
        </w:tc>
      </w:tr>
      <w:tr>
        <w:trPr>
          <w:tblHeader w:val="false"/>
        </w:trPr>
        <w:tc>
          <w:tcPr>
            <w:tcW w:type="dxa" w:w="2200"/>
            <w:shd w:fill="F4F2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530"/>
                <w:sz w:val="19"/>
                <w:szCs w:val="19"/>
              </w:rPr>
              <w:t xml:space="preserve">Réutilisable</w:t>
            </w:r>
          </w:p>
        </w:tc>
        <w:tc>
          <w:tcPr>
            <w:tcW w:type="dxa" w:w="7160"/>
            <w:shd w:fill="F4F2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530"/>
                <w:sz w:val="19"/>
                <w:szCs w:val="19"/>
              </w:rPr>
              <w:t xml:space="preserve">Oui — nouveau déploiement = nouvelle personne, sans toucher au code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530"/>
                <w:sz w:val="19"/>
                <w:szCs w:val="19"/>
              </w:rPr>
              <w:t xml:space="preserve">Recette</w:t>
            </w:r>
          </w:p>
        </w:tc>
        <w:tc>
          <w:tcPr>
            <w:tcW w:type="dxa" w:w="7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530"/>
                <w:sz w:val="19"/>
                <w:szCs w:val="19"/>
              </w:rPr>
              <w:t xml:space="preserve">63 cas de test formalisés, multi-appareils</w:t>
            </w:r>
          </w:p>
        </w:tc>
      </w:tr>
    </w:tbl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color w:val="1F1B23"/>
          <w:sz w:val="30"/>
          <w:szCs w:val="30"/>
        </w:rPr>
        <w:t xml:space="preserve">1. Ce qui a été livré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2A2530"/>
          <w:sz w:val="21"/>
          <w:szCs w:val="21"/>
        </w:rPr>
        <w:t xml:space="preserve">La page de suivi</w:t>
      </w:r>
      <w:r>
        <w:rPr>
          <w:rFonts w:ascii="Calibri" w:cs="Calibri" w:eastAsia="Calibri" w:hAnsi="Calibri"/>
          <w:color w:val="2A2530"/>
          <w:sz w:val="21"/>
          <w:szCs w:val="21"/>
        </w:rPr>
        <w:t xml:space="preserve"> — étapes, jalons, tâches cochables, dépôt de liens, progression visuelle.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2A2530"/>
          <w:sz w:val="21"/>
          <w:szCs w:val="21"/>
        </w:rPr>
        <w:t xml:space="preserve">Le contenu éditable</w:t>
      </w:r>
      <w:r>
        <w:rPr>
          <w:rFonts w:ascii="Calibri" w:cs="Calibri" w:eastAsia="Calibri" w:hAnsi="Calibri"/>
          <w:color w:val="2A2530"/>
          <w:sz w:val="21"/>
          <w:szCs w:val="21"/>
        </w:rPr>
        <w:t xml:space="preserve"> — un fichier de configuration séparé du code, modifiable sans compétence technique.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2A2530"/>
          <w:sz w:val="21"/>
          <w:szCs w:val="21"/>
        </w:rPr>
        <w:t xml:space="preserve">La fonction de persistance</w:t>
      </w:r>
      <w:r>
        <w:rPr>
          <w:rFonts w:ascii="Calibri" w:cs="Calibri" w:eastAsia="Calibri" w:hAnsi="Calibri"/>
          <w:color w:val="2A2530"/>
          <w:sz w:val="21"/>
          <w:szCs w:val="21"/>
        </w:rPr>
        <w:t xml:space="preserve"> — lecture et écriture de l’avancement, avec contrôle d’accès.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2A2530"/>
          <w:sz w:val="21"/>
          <w:szCs w:val="21"/>
        </w:rPr>
        <w:t xml:space="preserve">Le cahier de recette</w:t>
      </w:r>
      <w:r>
        <w:rPr>
          <w:rFonts w:ascii="Calibri" w:cs="Calibri" w:eastAsia="Calibri" w:hAnsi="Calibri"/>
          <w:color w:val="2A2530"/>
          <w:sz w:val="21"/>
          <w:szCs w:val="21"/>
        </w:rPr>
        <w:t xml:space="preserve"> — 63 cas couvrant chargement, droits, progression, affichage multi-appareils, accessibilité et robustesse.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2A2530"/>
          <w:sz w:val="21"/>
          <w:szCs w:val="21"/>
        </w:rPr>
        <w:t xml:space="preserve">La documentation de déploiement</w:t>
      </w:r>
      <w:r>
        <w:rPr>
          <w:rFonts w:ascii="Calibri" w:cs="Calibri" w:eastAsia="Calibri" w:hAnsi="Calibri"/>
          <w:color w:val="2A2530"/>
          <w:sz w:val="21"/>
          <w:szCs w:val="21"/>
        </w:rPr>
        <w:t xml:space="preserve"> — mise en ligne pas à pas et procédure de réutilisation.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color w:val="1F1B23"/>
          <w:sz w:val="30"/>
          <w:szCs w:val="30"/>
        </w:rPr>
        <w:t xml:space="preserve">2. Logique de conception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B9701C"/>
          <w:sz w:val="24"/>
          <w:szCs w:val="24"/>
        </w:rPr>
        <w:t xml:space="preserve">Contenu séparé du code</w:t>
      </w:r>
    </w:p>
    <w:p>
      <w:pPr>
        <w:spacing w:after="120" w:line="276"/>
      </w:pPr>
      <w:r>
        <w:rPr>
          <w:rFonts w:ascii="Calibri" w:cs="Calibri" w:eastAsia="Calibri" w:hAnsi="Calibri"/>
          <w:color w:val="2A2530"/>
          <w:sz w:val="21"/>
          <w:szCs w:val="21"/>
        </w:rPr>
        <w:t xml:space="preserve">Le parcours (étapes, libellés, tâches) vit dans un fichier de configuration distinct. Modifier un intitulé ou ajouter une tâche ne demande pas de toucher au code : on édite le fichier, on republie. Le code, lui, ne connaît pas le contenu — il l’affiche. Cette séparation rend l’outil maintenable dans la durée et éditable par un non-développeur.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B9701C"/>
          <w:sz w:val="24"/>
          <w:szCs w:val="24"/>
        </w:rPr>
        <w:t xml:space="preserve">Pile volontairement nue</w:t>
      </w:r>
    </w:p>
    <w:p>
      <w:pPr>
        <w:spacing w:after="120" w:line="276"/>
      </w:pPr>
      <w:r>
        <w:rPr>
          <w:rFonts w:ascii="Calibri" w:cs="Calibri" w:eastAsia="Calibri" w:hAnsi="Calibri"/>
          <w:color w:val="2A2530"/>
          <w:sz w:val="21"/>
          <w:szCs w:val="21"/>
        </w:rPr>
        <w:t xml:space="preserve">Aucun framework, aucune étape de compilation. Le choix est délibéré : un fichier qui s’ouvre et se lit directement, se déploie sans chaîne de build, et reste compréhensible dans deux ans. </w:t>
      </w:r>
      <w:r>
        <w:rPr>
          <w:rFonts w:ascii="Calibri" w:cs="Calibri" w:eastAsia="Calibri" w:hAnsi="Calibri"/>
          <w:b/>
          <w:bCs/>
          <w:color w:val="2A2530"/>
          <w:sz w:val="21"/>
          <w:szCs w:val="21"/>
        </w:rPr>
        <w:t xml:space="preserve">La contrainte est un gage de longévité et de déployabilité</w:t>
      </w:r>
      <w:r>
        <w:rPr>
          <w:rFonts w:ascii="Calibri" w:cs="Calibri" w:eastAsia="Calibri" w:hAnsi="Calibri"/>
          <w:color w:val="2A2530"/>
          <w:sz w:val="21"/>
          <w:szCs w:val="21"/>
        </w:rPr>
        <w:t xml:space="preserve">, au prix d’un peu plus de code écrit à la main — arbitrage assumé pour un outil interne à longue vie.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B9701C"/>
          <w:sz w:val="24"/>
          <w:szCs w:val="24"/>
        </w:rPr>
        <w:t xml:space="preserve">Slug déduit du sous-domaine</w:t>
      </w:r>
    </w:p>
    <w:p>
      <w:pPr>
        <w:spacing w:after="120" w:line="276"/>
      </w:pPr>
      <w:r>
        <w:rPr>
          <w:rFonts w:ascii="Calibri" w:cs="Calibri" w:eastAsia="Calibri" w:hAnsi="Calibri"/>
          <w:color w:val="2A2530"/>
          <w:sz w:val="21"/>
          <w:szCs w:val="21"/>
        </w:rPr>
        <w:t xml:space="preserve">L’identifiant du parcours est déduit de l’adresse : un projet nommé </w:t>
      </w:r>
      <w:r>
        <w:rPr>
          <w:rFonts w:ascii="Calibri" w:cs="Calibri" w:eastAsia="Calibri" w:hAnsi="Calibri"/>
          <w:i/>
          <w:iCs/>
          <w:color w:val="2A2530"/>
          <w:sz w:val="21"/>
          <w:szCs w:val="21"/>
        </w:rPr>
        <w:t xml:space="preserve">parcours-&lt;nom&gt;</w:t>
      </w:r>
      <w:r>
        <w:rPr>
          <w:rFonts w:ascii="Calibri" w:cs="Calibri" w:eastAsia="Calibri" w:hAnsi="Calibri"/>
          <w:color w:val="2A2530"/>
          <w:sz w:val="21"/>
          <w:szCs w:val="21"/>
        </w:rPr>
        <w:t xml:space="preserve"> sert automatiquement le parcours </w:t>
      </w:r>
      <w:r>
        <w:rPr>
          <w:rFonts w:ascii="Calibri" w:cs="Calibri" w:eastAsia="Calibri" w:hAnsi="Calibri"/>
          <w:i/>
          <w:iCs/>
          <w:color w:val="2A2530"/>
          <w:sz w:val="21"/>
          <w:szCs w:val="21"/>
        </w:rPr>
        <w:t xml:space="preserve">&lt;nom&gt;</w:t>
      </w:r>
      <w:r>
        <w:rPr>
          <w:rFonts w:ascii="Calibri" w:cs="Calibri" w:eastAsia="Calibri" w:hAnsi="Calibri"/>
          <w:color w:val="2A2530"/>
          <w:sz w:val="21"/>
          <w:szCs w:val="21"/>
        </w:rPr>
        <w:t xml:space="preserve">. Conséquence directe : pour accompagner une nouvelle personne, on déploie un projet à son nom et tout suit, sans modifier une ligne. </w:t>
      </w:r>
      <w:r>
        <w:rPr>
          <w:rFonts w:ascii="Calibri" w:cs="Calibri" w:eastAsia="Calibri" w:hAnsi="Calibri"/>
          <w:b/>
          <w:bCs/>
          <w:color w:val="2A2530"/>
          <w:sz w:val="21"/>
          <w:szCs w:val="21"/>
        </w:rPr>
        <w:t xml:space="preserve">Le squelette est réutilisable par construction</w:t>
      </w:r>
      <w:r>
        <w:rPr>
          <w:rFonts w:ascii="Calibri" w:cs="Calibri" w:eastAsia="Calibri" w:hAnsi="Calibri"/>
          <w:color w:val="2A2530"/>
          <w:sz w:val="21"/>
          <w:szCs w:val="21"/>
        </w:rPr>
        <w:t xml:space="preserve">, pas seulement en théorie.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B9701C"/>
          <w:sz w:val="24"/>
          <w:szCs w:val="24"/>
        </w:rPr>
        <w:t xml:space="preserve">Deux niveaux d’accès</w:t>
      </w:r>
    </w:p>
    <w:p>
      <w:pPr>
        <w:spacing w:after="120" w:line="276"/>
      </w:pPr>
      <w:r>
        <w:rPr>
          <w:rFonts w:ascii="Calibri" w:cs="Calibri" w:eastAsia="Calibri" w:hAnsi="Calibri"/>
          <w:color w:val="2A2530"/>
          <w:sz w:val="21"/>
          <w:szCs w:val="21"/>
        </w:rPr>
        <w:t xml:space="preserve">Un seul et même écran, deux usages. L’adresse racine ouvre la vue de consultation : cases verrouillées, aucun champ modifiable — c’est le lien des référents. L’adresse porteuse du jeton d’édition déverrouille les cases et le dépôt de liens — c’est le lien de la personne accompagnée. Aucun compte, aucune connexion : tout est piloté par l’adresse.</w:t>
      </w:r>
    </w:p>
    <w:tbl>
      <w:tblPr>
        <w:tblW w:type="dxa" w:w="9360"/>
        <w:tblBorders>
          <w:top w:val="single" w:color="D9D6DB" w:sz="4"/>
          <w:left w:val="single" w:color="D9D6DB" w:sz="4"/>
          <w:bottom w:val="single" w:color="D9D6DB" w:sz="4"/>
          <w:right w:val="single" w:color="D9D6DB" w:sz="4"/>
          <w:insideH w:val="single" w:color="D9D6DB" w:sz="4"/>
          <w:insideV w:val="single" w:color="D9D6DB" w:sz="4"/>
        </w:tblBorders>
      </w:tblPr>
      <w:tblGrid>
        <w:gridCol w:w="2600"/>
        <w:gridCol w:w="3560"/>
        <w:gridCol w:w="3200"/>
      </w:tblGrid>
      <w:tr>
        <w:trPr>
          <w:tblHeader/>
        </w:trPr>
        <w:tc>
          <w:tcPr>
            <w:tcW w:type="dxa" w:w="2600"/>
            <w:shd w:fill="6A9A2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  <w:tc>
          <w:tcPr>
            <w:tcW w:type="dxa" w:w="3560"/>
            <w:shd w:fill="6A9A2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Adresse</w:t>
            </w:r>
          </w:p>
        </w:tc>
        <w:tc>
          <w:tcPr>
            <w:tcW w:type="dxa" w:w="3200"/>
            <w:shd w:fill="6A9A2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Droits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530"/>
                <w:sz w:val="19"/>
                <w:szCs w:val="19"/>
              </w:rPr>
              <w:t xml:space="preserve">Référents, encadrant</w:t>
            </w:r>
          </w:p>
        </w:tc>
        <w:tc>
          <w:tcPr>
            <w:tcW w:type="dxa" w:w="3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530"/>
                <w:sz w:val="19"/>
                <w:szCs w:val="19"/>
              </w:rPr>
              <w:t xml:space="preserve">…/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530"/>
                <w:sz w:val="19"/>
                <w:szCs w:val="19"/>
              </w:rPr>
              <w:t xml:space="preserve">Lecture seule, rafraîchie automatiquement</w:t>
            </w:r>
          </w:p>
        </w:tc>
      </w:tr>
      <w:tr>
        <w:trPr>
          <w:tblHeader w:val="false"/>
        </w:trPr>
        <w:tc>
          <w:tcPr>
            <w:tcW w:type="dxa" w:w="2600"/>
            <w:shd w:fill="F4F2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530"/>
                <w:sz w:val="19"/>
                <w:szCs w:val="19"/>
              </w:rPr>
              <w:t xml:space="preserve">Personne accompagnée</w:t>
            </w:r>
          </w:p>
        </w:tc>
        <w:tc>
          <w:tcPr>
            <w:tcW w:type="dxa" w:w="3560"/>
            <w:shd w:fill="F4F2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530"/>
                <w:sz w:val="19"/>
                <w:szCs w:val="19"/>
              </w:rPr>
              <w:t xml:space="preserve">…/&lt;jeton&gt;</w:t>
            </w:r>
          </w:p>
        </w:tc>
        <w:tc>
          <w:tcPr>
            <w:tcW w:type="dxa" w:w="3200"/>
            <w:shd w:fill="F4F2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530"/>
                <w:sz w:val="19"/>
                <w:szCs w:val="19"/>
              </w:rPr>
              <w:t xml:space="preserve">Lecture et écriture</w:t>
            </w:r>
          </w:p>
        </w:tc>
      </w:tr>
    </w:tbl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B9701C"/>
          <w:sz w:val="24"/>
          <w:szCs w:val="24"/>
        </w:rPr>
        <w:t xml:space="preserve">Direction visuelle appropriable</w:t>
      </w:r>
    </w:p>
    <w:p>
      <w:pPr>
        <w:spacing w:after="120" w:line="276"/>
      </w:pPr>
      <w:r>
        <w:rPr>
          <w:rFonts w:ascii="Calibri" w:cs="Calibri" w:eastAsia="Calibri" w:hAnsi="Calibri"/>
          <w:color w:val="2A2530"/>
          <w:sz w:val="21"/>
          <w:szCs w:val="21"/>
        </w:rPr>
        <w:t xml:space="preserve">L’identité n’est pas neutre : verre chaud, fond dégradé mouvant, couleurs Norsys en signal de validation, pictogrammes dessinés pour chaque étape. Le parti pris — sobre, contrasté, sans surcharge — vise l’appropriation par l’utilisatrice tout en restant présentable devant des référents. La progression allume peu à peu l’interface, rendant l’avancement lisible d’un coup d’œil.</w:t>
      </w:r>
    </w:p>
    <w:p>
      <w:r>
        <w:br w:type="page"/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color w:val="1F1B23"/>
          <w:sz w:val="30"/>
          <w:szCs w:val="30"/>
        </w:rPr>
        <w:t xml:space="preserve">3. Architecture technique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A2530"/>
          <w:sz w:val="21"/>
          <w:szCs w:val="21"/>
        </w:rPr>
        <w:t xml:space="preserve">Quatre fichiers, un flux simple :</w:t>
      </w:r>
    </w:p>
    <w:tbl>
      <w:tblPr>
        <w:tblW w:type="dxa" w:w="9360"/>
        <w:tblBorders>
          <w:top w:val="single" w:color="D9D6DB" w:sz="4"/>
          <w:left w:val="single" w:color="D9D6DB" w:sz="4"/>
          <w:bottom w:val="single" w:color="D9D6DB" w:sz="4"/>
          <w:right w:val="single" w:color="D9D6DB" w:sz="4"/>
          <w:insideH w:val="single" w:color="D9D6DB" w:sz="4"/>
          <w:insideV w:val="single" w:color="D9D6DB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1B2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  <w:tc>
          <w:tcPr>
            <w:tcW w:type="dxa" w:w="6760"/>
            <w:shd w:fill="1F1B2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530"/>
                <w:sz w:val="19"/>
                <w:szCs w:val="19"/>
              </w:rPr>
              <w:t xml:space="preserve">index.html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530"/>
                <w:sz w:val="19"/>
                <w:szCs w:val="19"/>
              </w:rPr>
              <w:t xml:space="preserve">La page : rendu du contenu, gestion des deux modes, appels serveur</w:t>
            </w:r>
          </w:p>
        </w:tc>
      </w:tr>
      <w:tr>
        <w:trPr>
          <w:tblHeader w:val="false"/>
        </w:trPr>
        <w:tc>
          <w:tcPr>
            <w:tcW w:type="dxa" w:w="2600"/>
            <w:shd w:fill="F4F2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530"/>
                <w:sz w:val="19"/>
                <w:szCs w:val="19"/>
              </w:rPr>
              <w:t xml:space="preserve">parcours.json</w:t>
            </w:r>
          </w:p>
        </w:tc>
        <w:tc>
          <w:tcPr>
            <w:tcW w:type="dxa" w:w="6760"/>
            <w:shd w:fill="F4F2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530"/>
                <w:sz w:val="19"/>
                <w:szCs w:val="19"/>
              </w:rPr>
              <w:t xml:space="preserve">Le contenu éditable — seul fichier modifié au quotidien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530"/>
                <w:sz w:val="19"/>
                <w:szCs w:val="19"/>
              </w:rPr>
              <w:t xml:space="preserve">api/progress.js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530"/>
                <w:sz w:val="19"/>
                <w:szCs w:val="19"/>
              </w:rPr>
              <w:t xml:space="preserve">La fonction serveur : lecture / écriture de l’avancement</w:t>
            </w:r>
          </w:p>
        </w:tc>
      </w:tr>
      <w:tr>
        <w:trPr>
          <w:tblHeader w:val="false"/>
        </w:trPr>
        <w:tc>
          <w:tcPr>
            <w:tcW w:type="dxa" w:w="2600"/>
            <w:shd w:fill="F4F2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530"/>
                <w:sz w:val="19"/>
                <w:szCs w:val="19"/>
              </w:rPr>
              <w:t xml:space="preserve">vercel.json</w:t>
            </w:r>
          </w:p>
        </w:tc>
        <w:tc>
          <w:tcPr>
            <w:tcW w:type="dxa" w:w="6760"/>
            <w:shd w:fill="F4F2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530"/>
                <w:sz w:val="19"/>
                <w:szCs w:val="19"/>
              </w:rPr>
              <w:t xml:space="preserve">Réécriture d’adresses et en-têtes (pas d’indexation)</w:t>
            </w:r>
          </w:p>
        </w:tc>
      </w:tr>
    </w:tbl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B9701C"/>
          <w:sz w:val="24"/>
          <w:szCs w:val="24"/>
        </w:rPr>
        <w:t xml:space="preserve">La base Redis, et pourquoi</w:t>
      </w:r>
    </w:p>
    <w:p>
      <w:pPr>
        <w:spacing w:after="120" w:line="276"/>
      </w:pPr>
      <w:r>
        <w:rPr>
          <w:rFonts w:ascii="Calibri" w:cs="Calibri" w:eastAsia="Calibri" w:hAnsi="Calibri"/>
          <w:color w:val="2A2530"/>
          <w:sz w:val="21"/>
          <w:szCs w:val="21"/>
        </w:rPr>
        <w:t xml:space="preserve">L’avancement ne pouvait pas rester dans le navigateur : l’encadrant et les référents doivent le voir depuis leurs propres postes, y compris à distance. Il fallait donc un état partagé, côté serveur. C’est le rôle de la base Redis (Upstash) : un document par parcours, contenant les cases cochées et les liens déposés.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2A2530"/>
          <w:sz w:val="21"/>
          <w:szCs w:val="21"/>
        </w:rPr>
        <w:t xml:space="preserve">Accès en REST</w:t>
      </w:r>
      <w:r>
        <w:rPr>
          <w:rFonts w:ascii="Calibri" w:cs="Calibri" w:eastAsia="Calibri" w:hAnsi="Calibri"/>
          <w:color w:val="2A2530"/>
          <w:sz w:val="21"/>
          <w:szCs w:val="21"/>
        </w:rPr>
        <w:t xml:space="preserve"> — la fonction lit et écrit par simple requête web, sans bibliothèque à installer : la pile reste sans dépendance.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2A2530"/>
          <w:sz w:val="21"/>
          <w:szCs w:val="21"/>
        </w:rPr>
        <w:t xml:space="preserve">Une clé par parcours</w:t>
      </w:r>
      <w:r>
        <w:rPr>
          <w:rFonts w:ascii="Calibri" w:cs="Calibri" w:eastAsia="Calibri" w:hAnsi="Calibri"/>
          <w:color w:val="2A2530"/>
          <w:sz w:val="21"/>
          <w:szCs w:val="21"/>
        </w:rPr>
        <w:t xml:space="preserve"> — les parcours sont étanches entre eux ; un même hébergement en sert autant qu’on veut.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2A2530"/>
          <w:sz w:val="21"/>
          <w:szCs w:val="21"/>
        </w:rPr>
        <w:t xml:space="preserve">Provisionnée depuis l’hébergeur</w:t>
      </w:r>
      <w:r>
        <w:rPr>
          <w:rFonts w:ascii="Calibri" w:cs="Calibri" w:eastAsia="Calibri" w:hAnsi="Calibri"/>
          <w:color w:val="2A2530"/>
          <w:sz w:val="21"/>
          <w:szCs w:val="21"/>
        </w:rPr>
        <w:t xml:space="preserve"> — la base se branche en quelques clics et injecte ses identifiants automatiquement. Palier gratuit très supérieur au besoin.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B9701C"/>
          <w:sz w:val="24"/>
          <w:szCs w:val="24"/>
        </w:rPr>
        <w:t xml:space="preserve">Écriture groupée</w:t>
      </w:r>
    </w:p>
    <w:p>
      <w:pPr>
        <w:spacing w:after="120" w:line="276"/>
      </w:pPr>
      <w:r>
        <w:rPr>
          <w:rFonts w:ascii="Calibri" w:cs="Calibri" w:eastAsia="Calibri" w:hAnsi="Calibri"/>
          <w:color w:val="2A2530"/>
          <w:sz w:val="21"/>
          <w:szCs w:val="21"/>
        </w:rPr>
        <w:t xml:space="preserve">Les modifications ne partent pas à chaque clic mais 0,8 seconde après la dernière action. Cocher cinq cases d’affilée déclenche un seul enregistrement. Une pastille discrète signale l’état — enregistrement, enregistré, hors ligne.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B9701C"/>
          <w:sz w:val="24"/>
          <w:szCs w:val="24"/>
        </w:rPr>
        <w:t xml:space="preserve">Identifiants stables</w:t>
      </w:r>
    </w:p>
    <w:p>
      <w:pPr>
        <w:spacing w:after="120" w:line="276"/>
      </w:pPr>
      <w:r>
        <w:rPr>
          <w:rFonts w:ascii="Calibri" w:cs="Calibri" w:eastAsia="Calibri" w:hAnsi="Calibri"/>
          <w:color w:val="2A2530"/>
          <w:sz w:val="21"/>
          <w:szCs w:val="21"/>
        </w:rPr>
        <w:t xml:space="preserve">Chaque tâche porte un identifiant fixe, qui est la mémoire de l’avancement. Ajouter ou retirer une tâche est sans risque pour les coches existantes ; en revanche un identifiant ne doit jamais être renommé ni recyclé une fois publié, sous peine de déplacer une progression. </w:t>
      </w:r>
      <w:r>
        <w:rPr>
          <w:rFonts w:ascii="Calibri" w:cs="Calibri" w:eastAsia="Calibri" w:hAnsi="Calibri"/>
          <w:b/>
          <w:bCs/>
          <w:color w:val="2A2530"/>
          <w:sz w:val="21"/>
          <w:szCs w:val="21"/>
        </w:rPr>
        <w:t xml:space="preserve">C’est la seule règle à respecter lors des éditions de contenu.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color w:val="1F1B23"/>
          <w:sz w:val="30"/>
          <w:szCs w:val="30"/>
        </w:rPr>
        <w:t xml:space="preserve">4. Sécurité et contrôle d’accès</w:t>
      </w:r>
    </w:p>
    <w:p>
      <w:pPr>
        <w:spacing w:after="120" w:line="276"/>
      </w:pPr>
      <w:r>
        <w:rPr>
          <w:rFonts w:ascii="Calibri" w:cs="Calibri" w:eastAsia="Calibri" w:hAnsi="Calibri"/>
          <w:color w:val="2A2530"/>
          <w:sz w:val="21"/>
          <w:szCs w:val="21"/>
        </w:rPr>
        <w:t xml:space="preserve">Le partage est interne et sans donnée sensible ; le niveau de protection est calibré en conséquence, mais l’écriture est réellement verrouillée.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2A2530"/>
          <w:sz w:val="21"/>
          <w:szCs w:val="21"/>
        </w:rPr>
        <w:t xml:space="preserve">Écriture vérifiée côté serveur</w:t>
      </w:r>
      <w:r>
        <w:rPr>
          <w:rFonts w:ascii="Calibri" w:cs="Calibri" w:eastAsia="Calibri" w:hAnsi="Calibri"/>
          <w:color w:val="2A2530"/>
          <w:sz w:val="21"/>
          <w:szCs w:val="21"/>
        </w:rPr>
        <w:t xml:space="preserve"> — le jeton est comparé sur le serveur, à durée constante pour ne pas se laisser deviner. Sans jeton valide, aucune modification n’est acceptée, même en forçant une requête à la main.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2A2530"/>
          <w:sz w:val="21"/>
          <w:szCs w:val="21"/>
        </w:rPr>
        <w:t xml:space="preserve">Lecture ouverte à qui détient l’adresse</w:t>
      </w:r>
      <w:r>
        <w:rPr>
          <w:rFonts w:ascii="Calibri" w:cs="Calibri" w:eastAsia="Calibri" w:hAnsi="Calibri"/>
          <w:color w:val="2A2530"/>
          <w:sz w:val="21"/>
          <w:szCs w:val="21"/>
        </w:rPr>
        <w:t xml:space="preserve"> — la vue de consultation n’expose rien de modifiable. C’est le compromis retenu : partage fluide, sans compte.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2A2530"/>
          <w:sz w:val="21"/>
          <w:szCs w:val="21"/>
        </w:rPr>
        <w:t xml:space="preserve">Données filtrées à l’entrée</w:t>
      </w:r>
      <w:r>
        <w:rPr>
          <w:rFonts w:ascii="Calibri" w:cs="Calibri" w:eastAsia="Calibri" w:hAnsi="Calibri"/>
          <w:color w:val="2A2530"/>
          <w:sz w:val="21"/>
          <w:szCs w:val="21"/>
        </w:rPr>
        <w:t xml:space="preserve"> — le serveur ne conserve que des cases et des liens, plafonne la taille reçue, et n’affiche jamais un contenu sans le neutraliser (aucune injection possible).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2A2530"/>
          <w:sz w:val="21"/>
          <w:szCs w:val="21"/>
        </w:rPr>
        <w:t xml:space="preserve">Non indexé</w:t>
      </w:r>
      <w:r>
        <w:rPr>
          <w:rFonts w:ascii="Calibri" w:cs="Calibri" w:eastAsia="Calibri" w:hAnsi="Calibri"/>
          <w:color w:val="2A2530"/>
          <w:sz w:val="21"/>
          <w:szCs w:val="21"/>
        </w:rPr>
        <w:t xml:space="preserve"> — l’outil est exclu des moteurs de recherche.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2A2530"/>
          <w:sz w:val="21"/>
          <w:szCs w:val="21"/>
        </w:rPr>
        <w:t xml:space="preserve">Limite assumée : </w:t>
      </w:r>
      <w:r>
        <w:rPr>
          <w:rFonts w:ascii="Calibri" w:cs="Calibri" w:eastAsia="Calibri" w:hAnsi="Calibri"/>
          <w:color w:val="2A2530"/>
          <w:sz w:val="21"/>
          <w:szCs w:val="21"/>
        </w:rPr>
        <w:t xml:space="preserve">adapté à un usage interne entre collègues et référents. Pour des données sensibles ou un public élargi, une authentification réelle serait à ajouter.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color w:val="1F1B23"/>
          <w:sz w:val="30"/>
          <w:szCs w:val="30"/>
        </w:rPr>
        <w:t xml:space="preserve">5. Charge estimée</w:t>
      </w:r>
    </w:p>
    <w:p>
      <w:pPr>
        <w:spacing w:after="120" w:line="276"/>
      </w:pPr>
      <w:r>
        <w:rPr>
          <w:rFonts w:ascii="Calibri" w:cs="Calibri" w:eastAsia="Calibri" w:hAnsi="Calibri"/>
          <w:color w:val="2A2530"/>
          <w:sz w:val="21"/>
          <w:szCs w:val="21"/>
        </w:rPr>
        <w:t xml:space="preserve">Répartition de l’effort par lot. Charge exprimée en équivalent jours-homme ; la réalisation assistée par IA a compressé le temps réel.</w:t>
      </w:r>
    </w:p>
    <w:tbl>
      <w:tblPr>
        <w:tblW w:type="dxa" w:w="9360"/>
        <w:tblBorders>
          <w:top w:val="single" w:color="D9D6DB" w:sz="4"/>
          <w:left w:val="single" w:color="D9D6DB" w:sz="4"/>
          <w:bottom w:val="single" w:color="D9D6DB" w:sz="4"/>
          <w:right w:val="single" w:color="D9D6DB" w:sz="4"/>
          <w:insideH w:val="single" w:color="D9D6DB" w:sz="4"/>
          <w:insideV w:val="single" w:color="D9D6DB" w:sz="4"/>
        </w:tblBorders>
      </w:tblPr>
      <w:tblGrid>
        <w:gridCol w:w="2500"/>
        <w:gridCol w:w="5160"/>
        <w:gridCol w:w="1700"/>
      </w:tblGrid>
      <w:tr>
        <w:trPr>
          <w:tblHeader/>
        </w:trPr>
        <w:tc>
          <w:tcPr>
            <w:tcW w:type="dxa" w:w="2500"/>
            <w:shd w:fill="6A9A2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Lot</w:t>
            </w:r>
          </w:p>
        </w:tc>
        <w:tc>
          <w:tcPr>
            <w:tcW w:type="dxa" w:w="5160"/>
            <w:shd w:fill="6A9A2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  <w:tc>
          <w:tcPr>
            <w:tcW w:type="dxa" w:w="1700"/>
            <w:shd w:fill="6A9A2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Charge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530"/>
                <w:sz w:val="19"/>
                <w:szCs w:val="19"/>
              </w:rPr>
              <w:t xml:space="preserve">Cadrage &amp; conception</w:t>
            </w:r>
          </w:p>
        </w:tc>
        <w:tc>
          <w:tcPr>
            <w:tcW w:type="dxa" w:w="5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530"/>
                <w:sz w:val="19"/>
                <w:szCs w:val="19"/>
              </w:rPr>
              <w:t xml:space="preserve">Logique produit, direction visuelle, modèle de données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530"/>
                <w:sz w:val="19"/>
                <w:szCs w:val="19"/>
              </w:rPr>
              <w:t xml:space="preserve">0,5 j</w:t>
            </w:r>
          </w:p>
        </w:tc>
      </w:tr>
      <w:tr>
        <w:trPr>
          <w:tblHeader w:val="false"/>
        </w:trPr>
        <w:tc>
          <w:tcPr>
            <w:tcW w:type="dxa" w:w="2500"/>
            <w:shd w:fill="F4F2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530"/>
                <w:sz w:val="19"/>
                <w:szCs w:val="19"/>
              </w:rPr>
              <w:t xml:space="preserve">Intégration front</w:t>
            </w:r>
          </w:p>
        </w:tc>
        <w:tc>
          <w:tcPr>
            <w:tcW w:type="dxa" w:w="5160"/>
            <w:shd w:fill="F4F2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530"/>
                <w:sz w:val="19"/>
                <w:szCs w:val="19"/>
              </w:rPr>
              <w:t xml:space="preserve">Page, animations, responsive, pictogrammes, deux modes</w:t>
            </w:r>
          </w:p>
        </w:tc>
        <w:tc>
          <w:tcPr>
            <w:tcW w:type="dxa" w:w="1700"/>
            <w:shd w:fill="F4F2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530"/>
                <w:sz w:val="19"/>
                <w:szCs w:val="19"/>
              </w:rPr>
              <w:t xml:space="preserve">1,0 j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530"/>
                <w:sz w:val="19"/>
                <w:szCs w:val="19"/>
              </w:rPr>
              <w:t xml:space="preserve">Persistance &amp; droits</w:t>
            </w:r>
          </w:p>
        </w:tc>
        <w:tc>
          <w:tcPr>
            <w:tcW w:type="dxa" w:w="5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530"/>
                <w:sz w:val="19"/>
                <w:szCs w:val="19"/>
              </w:rPr>
              <w:t xml:space="preserve">Fonction serveur, base Redis, contrôle d’accès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530"/>
                <w:sz w:val="19"/>
                <w:szCs w:val="19"/>
              </w:rPr>
              <w:t xml:space="preserve">0,5 j</w:t>
            </w:r>
          </w:p>
        </w:tc>
      </w:tr>
      <w:tr>
        <w:trPr>
          <w:tblHeader w:val="false"/>
        </w:trPr>
        <w:tc>
          <w:tcPr>
            <w:tcW w:type="dxa" w:w="2500"/>
            <w:shd w:fill="F4F2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530"/>
                <w:sz w:val="19"/>
                <w:szCs w:val="19"/>
              </w:rPr>
              <w:t xml:space="preserve">Système de contenu</w:t>
            </w:r>
          </w:p>
        </w:tc>
        <w:tc>
          <w:tcPr>
            <w:tcW w:type="dxa" w:w="5160"/>
            <w:shd w:fill="F4F2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530"/>
                <w:sz w:val="19"/>
                <w:szCs w:val="19"/>
              </w:rPr>
              <w:t xml:space="preserve">Configuration éditable, réutilisabilité par sous-domaine</w:t>
            </w:r>
          </w:p>
        </w:tc>
        <w:tc>
          <w:tcPr>
            <w:tcW w:type="dxa" w:w="1700"/>
            <w:shd w:fill="F4F2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530"/>
                <w:sz w:val="19"/>
                <w:szCs w:val="19"/>
              </w:rPr>
              <w:t xml:space="preserve">0,25 j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530"/>
                <w:sz w:val="19"/>
                <w:szCs w:val="19"/>
              </w:rPr>
              <w:t xml:space="preserve">Recette</w:t>
            </w:r>
          </w:p>
        </w:tc>
        <w:tc>
          <w:tcPr>
            <w:tcW w:type="dxa" w:w="5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530"/>
                <w:sz w:val="19"/>
                <w:szCs w:val="19"/>
              </w:rPr>
              <w:t xml:space="preserve">63 cas de test formalisés, multi-appareils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530"/>
                <w:sz w:val="19"/>
                <w:szCs w:val="19"/>
              </w:rPr>
              <w:t xml:space="preserve">0,5 j</w:t>
            </w:r>
          </w:p>
        </w:tc>
      </w:tr>
      <w:tr>
        <w:trPr>
          <w:tblHeader w:val="false"/>
        </w:trPr>
        <w:tc>
          <w:tcPr>
            <w:tcW w:type="dxa" w:w="2500"/>
            <w:shd w:fill="F4F2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530"/>
                <w:sz w:val="19"/>
                <w:szCs w:val="19"/>
              </w:rPr>
              <w:t xml:space="preserve">Déploiement &amp; doc</w:t>
            </w:r>
          </w:p>
        </w:tc>
        <w:tc>
          <w:tcPr>
            <w:tcW w:type="dxa" w:w="5160"/>
            <w:shd w:fill="F4F2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530"/>
                <w:sz w:val="19"/>
                <w:szCs w:val="19"/>
              </w:rPr>
              <w:t xml:space="preserve">Mise en ligne, procédure de réutilisation</w:t>
            </w:r>
          </w:p>
        </w:tc>
        <w:tc>
          <w:tcPr>
            <w:tcW w:type="dxa" w:w="1700"/>
            <w:shd w:fill="F4F2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530"/>
                <w:sz w:val="19"/>
                <w:szCs w:val="19"/>
              </w:rPr>
              <w:t xml:space="preserve">0,25 j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530"/>
                <w:sz w:val="19"/>
                <w:szCs w:val="19"/>
              </w:rPr>
              <w:t xml:space="preserve">Total</w:t>
            </w:r>
          </w:p>
        </w:tc>
        <w:tc>
          <w:tcPr>
            <w:tcW w:type="dxa" w:w="5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530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530"/>
                <w:sz w:val="19"/>
                <w:szCs w:val="19"/>
              </w:rPr>
              <w:t xml:space="preserve">≈ 3 j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b/>
          <w:bCs/>
          <w:color w:val="2A2530"/>
          <w:sz w:val="21"/>
          <w:szCs w:val="21"/>
        </w:rPr>
        <w:t xml:space="preserve">Coût d’exploitation : </w:t>
      </w:r>
      <w:r>
        <w:rPr>
          <w:rFonts w:ascii="Calibri" w:cs="Calibri" w:eastAsia="Calibri" w:hAnsi="Calibri"/>
          <w:color w:val="2A2530"/>
          <w:sz w:val="21"/>
          <w:szCs w:val="21"/>
        </w:rPr>
        <w:t xml:space="preserve">nul sur les paliers gratuits actuels. Un plan d’hébergement payant (≈ 20 $/mois) est requis si l’outil est qualifié d’usage professionnel — dépense à arbitrer, sans incidence sur le code.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color w:val="1F1B23"/>
          <w:sz w:val="30"/>
          <w:szCs w:val="30"/>
        </w:rPr>
        <w:t xml:space="preserve">6. Réutilisation</w:t>
      </w:r>
    </w:p>
    <w:p>
      <w:pPr>
        <w:spacing w:after="120" w:line="276"/>
      </w:pPr>
      <w:r>
        <w:rPr>
          <w:rFonts w:ascii="Calibri" w:cs="Calibri" w:eastAsia="Calibri" w:hAnsi="Calibri"/>
          <w:color w:val="2A2530"/>
          <w:sz w:val="21"/>
          <w:szCs w:val="21"/>
        </w:rPr>
        <w:t xml:space="preserve">Le patron ne dépend pas de ce parcours précis : une page statique, une adresse qui désigne l’instance, une fonction qui lit et écrit un document. </w:t>
      </w:r>
      <w:r>
        <w:rPr>
          <w:rFonts w:ascii="Calibri" w:cs="Calibri" w:eastAsia="Calibri" w:hAnsi="Calibri"/>
          <w:b/>
          <w:bCs/>
          <w:color w:val="2A2530"/>
          <w:sz w:val="21"/>
          <w:szCs w:val="21"/>
        </w:rPr>
        <w:t xml:space="preserve">Pour une nouvelle personne accompagnée, un nouveau déploiement au bon nom suffit</w:t>
      </w:r>
      <w:r>
        <w:rPr>
          <w:rFonts w:ascii="Calibri" w:cs="Calibri" w:eastAsia="Calibri" w:hAnsi="Calibri"/>
          <w:color w:val="2A2530"/>
          <w:sz w:val="21"/>
          <w:szCs w:val="21"/>
        </w:rPr>
        <w:t xml:space="preserve"> ; pour un tout autre usage, on remplace le fichier de contenu. C’est un actif transposable au-delà de ce cas — trackers, tableaux de bord, suivis d’accompagnement.</w:t>
      </w:r>
    </w:p>
    <w:p>
      <w:pPr>
        <w:pBdr>
          <w:bottom w:val="single" w:color="D9D6DB" w:sz="6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spacing w:before="60"/>
      </w:pPr>
      <w:r>
        <w:rPr>
          <w:rFonts w:ascii="Calibri" w:cs="Calibri" w:eastAsia="Calibri" w:hAnsi="Calibri"/>
          <w:i/>
          <w:iCs/>
          <w:color w:val="6B6570"/>
          <w:sz w:val="18"/>
          <w:szCs w:val="18"/>
        </w:rPr>
        <w:t xml:space="preserve">Document de restitution — usage interne Norsys.</w:t>
      </w:r>
    </w:p>
    <w:sectPr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  <w:rPr>
        <w:color w:val="6A9A2E"/>
      </w:rPr>
    </w:lvl>
    <w:lvl w:ilvl="1" w15:tentative="1">
      <w:start w:val="1"/>
      <w:numFmt w:val="bullet"/>
      <w:lvlText w:val="–"/>
      <w:lvlJc w:val="left"/>
      <w:pPr>
        <w:ind w:left="6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25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Restitution — Parcours UX/UI</dc:title>
  <dc:creator>Norsys</dc:creator>
  <cp:lastModifiedBy>Un-named</cp:lastModifiedBy>
  <cp:revision>1</cp:revision>
  <dcterms:created xsi:type="dcterms:W3CDTF">2026-07-30T13:10:16.162Z</dcterms:created>
  <dcterms:modified xsi:type="dcterms:W3CDTF">2026-07-30T13:10:16.182Z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