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3.2.4  Comparison of Candidate Classification Methods</w:t>
      </w:r>
    </w:p>
    <w:p>
      <w:pPr>
        <w:spacing w:after="140" w:line="276"/>
        <w:jc w:val="both"/>
      </w:pPr>
      <w:r>
        <w:rPr>
          <w:rFonts w:ascii="Calibri" w:cs="Calibri" w:eastAsia="Calibri" w:hAnsi="Calibri"/>
          <w:sz w:val="22"/>
          <w:szCs w:val="22"/>
        </w:rPr>
        <w:t xml:space="preserve">Sections 3.2.2 and 3.2.3 reviewed traditional and deep-learning classifiers. This section compares them as candidates for the project. At this mid-semester stage the comparison is preliminary. The final choice of input representation and model will be made at the end of this semester, after a deeper review of the literature; the selected approach will then be implemented and tested experimentally next semester.</w:t>
      </w:r>
    </w:p>
    <w:p>
      <w:pPr>
        <w:spacing w:after="140" w:line="276"/>
        <w:jc w:val="both"/>
      </w:pPr>
      <w:r>
        <w:rPr>
          <w:rFonts w:ascii="Calibri" w:cs="Calibri" w:eastAsia="Calibri" w:hAnsi="Calibri"/>
          <w:b/>
          <w:bCs/>
          <w:sz w:val="22"/>
          <w:szCs w:val="22"/>
        </w:rPr>
        <w:t xml:space="preserve">Within-study comparisons.</w:t>
      </w:r>
      <w:r>
        <w:rPr>
          <w:rFonts w:ascii="Calibri" w:cs="Calibri" w:eastAsia="Calibri" w:hAnsi="Calibri"/>
          <w:sz w:val="22"/>
          <w:szCs w:val="22"/>
        </w:rPr>
        <w:t xml:space="preserve"> Results from different papers cannot be ranked directly, because the equipment, classes and data splits differ. The most useful evidence therefore comes from studies that tested several methods on the same data (Table 5). In every such study the deep-learning model was the most accurate, but the margin over the best traditional model ranged from 1.0 to 4.76 percentage points [6], [10]. Two further results temper this: a carefully tuned SVM reached 97.29% against 84.52% for an untuned SVM on the same features [7], and an SVM reached 98.8% on clean PRPD features of XLPE cable-joint defects [8]. Model tuning and feature choice can therefore matter as much as the choice between traditional and deep learning.</w:t>
      </w:r>
    </w:p>
    <w:p>
      <w:pPr>
        <w:spacing w:after="80" w:before="200"/>
        <w:jc w:val="center"/>
      </w:pPr>
      <w:r>
        <w:rPr>
          <w:rFonts w:ascii="Calibri" w:cs="Calibri" w:eastAsia="Calibri" w:hAnsi="Calibri"/>
          <w:b/>
          <w:bCs/>
          <w:sz w:val="20"/>
          <w:szCs w:val="20"/>
        </w:rPr>
        <w:t xml:space="preserve">Table 5.</w:t>
      </w:r>
      <w:r>
        <w:rPr>
          <w:rFonts w:ascii="Calibri" w:cs="Calibri" w:eastAsia="Calibri" w:hAnsi="Calibri"/>
          <w:sz w:val="20"/>
          <w:szCs w:val="20"/>
        </w:rPr>
        <w:t xml:space="preserve"> Methods compared on the same data within individual studies (best traditional model versus deep-learning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600"/>
        <w:gridCol w:w="1700"/>
        <w:gridCol w:w="20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2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w:t>
            </w:r>
          </w:p>
        </w:tc>
        <w:tc>
          <w:tcPr>
            <w:tcW w:type="dxa" w:w="16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Best traditional model</w:t>
            </w:r>
          </w:p>
        </w:tc>
        <w:tc>
          <w:tcPr>
            <w:tcW w:type="dxa" w:w="1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Deep-learning model</w:t>
            </w:r>
          </w:p>
        </w:tc>
        <w:tc>
          <w:tcPr>
            <w:tcW w:type="dxa" w:w="20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Difference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[10]</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EPR cable, 5 defects, 3 500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87.81%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92.57%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+4.76 points; CNN training 384 s vs 6.3 s for BPNN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Nguyen </w:t>
            </w:r>
            <w:r>
              <w:rPr>
                <w:rFonts w:ascii="Calibri" w:cs="Calibri" w:eastAsia="Calibri" w:hAnsi="Calibri"/>
                <w:i/>
                <w:iCs/>
                <w:sz w:val="18"/>
                <w:szCs w:val="18"/>
              </w:rPr>
              <w:t xml:space="preserve">et al.</w:t>
            </w:r>
            <w:r>
              <w:rPr>
                <w:rFonts w:ascii="Calibri" w:cs="Calibri" w:eastAsia="Calibri" w:hAnsi="Calibri"/>
                <w:sz w:val="18"/>
                <w:szCs w:val="18"/>
              </w:rPr>
              <w:t xml:space="preserve"> [11]</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GIS (UHF), 4 defects + noise</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ANN 93.01%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96.74%</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+3.73 points; LSTM slower to train and test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[6]</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Cable-terminal models, 4 defects, 1 600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94.8%</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95.8%</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 point; CNN longer runtime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[5]</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terminations, 5 defects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 (pretrained CNNs compared)</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Purpose-built 2D CNN 96.77%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AlexNet 95.90%; CNN 485 s vs 9 349 s for VGG-16</w:t>
            </w:r>
          </w:p>
        </w:tc>
      </w:tr>
    </w:tbl>
    <w:p>
      <w:pPr>
        <w:spacing w:after="140" w:line="276"/>
        <w:jc w:val="both"/>
      </w:pPr>
      <w:r>
        <w:rPr>
          <w:rFonts w:ascii="Calibri" w:cs="Calibri" w:eastAsia="Calibri" w:hAnsi="Calibri"/>
          <w:b/>
          <w:bCs/>
          <w:sz w:val="22"/>
          <w:szCs w:val="22"/>
        </w:rPr>
        <w:t xml:space="preserve">Qualitative comparison.</w:t>
      </w:r>
      <w:r>
        <w:rPr>
          <w:rFonts w:ascii="Calibri" w:cs="Calibri" w:eastAsia="Calibri" w:hAnsi="Calibri"/>
          <w:sz w:val="22"/>
          <w:szCs w:val="22"/>
        </w:rPr>
        <w:t xml:space="preserve"> Table 6 compares the candidate approaches against the criteria agreed with the supervisors: compatibility with the available data, expected accuracy, preprocessing effort, computational cost, robustness and suitability for continuous monitoring. Traditional classifiers such as the SVM handle high-dimensional features and are less prone to overfitting with limited data, but kernel selection is difficult and computation grows with large datasets; deep learning extracts features automatically but needs large amounts of labelled data and is computationally intensive to train [4].</w:t>
      </w:r>
    </w:p>
    <w:p>
      <w:pPr>
        <w:spacing w:after="80" w:before="200"/>
        <w:jc w:val="center"/>
      </w:pPr>
      <w:r>
        <w:rPr>
          <w:rFonts w:ascii="Calibri" w:cs="Calibri" w:eastAsia="Calibri" w:hAnsi="Calibri"/>
          <w:b/>
          <w:bCs/>
          <w:sz w:val="20"/>
          <w:szCs w:val="20"/>
        </w:rPr>
        <w:t xml:space="preserve">Table 6.</w:t>
      </w:r>
      <w:r>
        <w:rPr>
          <w:rFonts w:ascii="Calibri" w:cs="Calibri" w:eastAsia="Calibri" w:hAnsi="Calibri"/>
          <w:sz w:val="20"/>
          <w:szCs w:val="20"/>
        </w:rPr>
        <w:t xml:space="preserve"> Qualitative comparison of candidate approaches for this project (based on [4] and the studies in Table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500"/>
        <w:gridCol w:w="1900"/>
        <w:gridCol w:w="18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Approach</w:t>
            </w:r>
          </w:p>
        </w:tc>
        <w:tc>
          <w:tcPr>
            <w:tcW w:type="dxa" w:w="13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Input needed</w:t>
            </w:r>
          </w:p>
        </w:tc>
        <w:tc>
          <w:tcPr>
            <w:tcW w:type="dxa" w:w="10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Feature design</w:t>
            </w:r>
          </w:p>
        </w:tc>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and computation</w:t>
            </w:r>
          </w:p>
        </w:tc>
        <w:tc>
          <w:tcPr>
            <w:tcW w:type="dxa" w:w="19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strength</w:t>
            </w:r>
          </w:p>
        </w:tc>
        <w:tc>
          <w:tcPr>
            <w:tcW w:type="dxa" w:w="18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open question for this project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 random forest on hand-crafted features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statistics or pulse features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Manual</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Moderate data; fast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Interpretable; strong on clean data [8], [7]</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Robustness to real noise [8]</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on raw pulses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Time-domain HFCT pulses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labelled data; longer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 feature engineering; suits waveform acquisition [6]</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Sensitivity to sampling, alignment and gain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2D CNN on PRPD patterns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(needs phase reference)</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data; image preparation</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Learns PRPD shape; proven on XLPE terminations [5]</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Availability of a phase reference; accumulation 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on PRPD cycle sequences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Ordered sequence of cycles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Slow training and testing [11]</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Uses cycle-to-cycle information [11]; the same network type can forecast PD trends towards failure (Section 3.2.5.4)</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Whether cycle order adds information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Pretrained CNN / Transformer</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images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High computation (e.g. VGG16 15.49 GFLOPs) [12]</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Comparable accuracy at lower cost for Swin [12]</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Benefit on a small dataset</w:t>
            </w:r>
          </w:p>
        </w:tc>
      </w:tr>
    </w:tbl>
    <w:p>
      <w:pPr>
        <w:spacing w:after="140" w:line="276"/>
        <w:jc w:val="both"/>
      </w:pPr>
      <w:r>
        <w:rPr>
          <w:rFonts w:ascii="Calibri" w:cs="Calibri" w:eastAsia="Calibri" w:hAnsi="Calibri"/>
          <w:b/>
          <w:bCs/>
          <w:sz w:val="22"/>
          <w:szCs w:val="22"/>
        </w:rPr>
        <w:t xml:space="preserve">Provisional shortlist.</w:t>
      </w:r>
      <w:r>
        <w:rPr>
          <w:rFonts w:ascii="Calibri" w:cs="Calibri" w:eastAsia="Calibri" w:hAnsi="Calibri"/>
          <w:sz w:val="22"/>
          <w:szCs w:val="22"/>
        </w:rPr>
        <w:t xml:space="preserve"> Based on this review, the approaches that remain under consideration are: an SVM and a random forest on hand-crafted features as baselines, a compact 1D CNN on raw HFCT pulses, a compact 2D CNN on PRPD patterns if a phase reference is available, and an LSTM on sequences of PD cycles. The LSTM is a strong candidate for this project because it is the only one that models how PD activity changes over time: it outperformed the ANN and SVM on PRPD cycle sequences [11], and LSTM networks have also been used to forecast PD-based failure precursors (Section 3.2.5.4), which links it directly to the failure-prediction objective. Its slower training and testing [11] will be weighed against this. A pretrained or Transformer model remains an optional extension. This shortlist will be narrowed during the rest of the semester as the review is deepened and the measurement setup and the classes that can be produced in the laboratory are confirmed, and the final selection will be made at the end of the semester.</w:t>
      </w:r>
    </w:p>
    <w:p>
      <w:pPr>
        <w:pStyle w:val="Heading2"/>
        <w:spacing w:after="120" w:before="240"/>
      </w:pPr>
      <w:r>
        <w:rPr>
          <w:rFonts w:ascii="Calibri" w:cs="Calibri" w:eastAsia="Calibri" w:hAnsi="Calibri"/>
          <w:b/>
          <w:bCs/>
          <w:color w:val="1F3864"/>
          <w:sz w:val="28"/>
          <w:szCs w:val="28"/>
        </w:rPr>
        <w:t xml:space="preserve">3.2.5  Performance, Robustness and Generalisation</w:t>
      </w:r>
    </w:p>
    <w:p>
      <w:pPr>
        <w:spacing w:after="140" w:line="276"/>
        <w:jc w:val="both"/>
      </w:pPr>
      <w:r>
        <w:rPr>
          <w:rFonts w:ascii="Calibri" w:cs="Calibri" w:eastAsia="Calibri" w:hAnsi="Calibri"/>
          <w:sz w:val="22"/>
          <w:szCs w:val="22"/>
        </w:rPr>
        <w:t xml:space="preserve">High accuracy on clean laboratory data does not guarantee that a classifier will work on new specimens or under real noise.</w:t>
      </w:r>
    </w:p>
    <w:p>
      <w:pPr>
        <w:pStyle w:val="Heading3"/>
        <w:spacing w:after="120" w:before="240"/>
      </w:pPr>
      <w:r>
        <w:rPr>
          <w:rFonts w:ascii="Calibri" w:cs="Calibri" w:eastAsia="Calibri" w:hAnsi="Calibri"/>
          <w:b/>
          <w:bCs/>
          <w:color w:val="1F3864"/>
          <w:sz w:val="24"/>
          <w:szCs w:val="24"/>
        </w:rPr>
        <w:t xml:space="preserve">3.2.5.1  Performance metrics</w:t>
      </w:r>
    </w:p>
    <w:p>
      <w:pPr>
        <w:spacing w:after="140" w:line="276"/>
        <w:jc w:val="both"/>
      </w:pPr>
      <w:r>
        <w:rPr>
          <w:rFonts w:ascii="Calibri" w:cs="Calibri" w:eastAsia="Calibri" w:hAnsi="Calibri"/>
          <w:sz w:val="22"/>
          <w:szCs w:val="22"/>
        </w:rPr>
        <w:t xml:space="preserve">Overall accuracy can hide weak classes. Peng </w:t>
      </w:r>
      <w:r>
        <w:rPr>
          <w:rFonts w:ascii="Calibri" w:cs="Calibri" w:eastAsia="Calibri" w:hAnsi="Calibri"/>
          <w:i/>
          <w:iCs/>
          <w:sz w:val="22"/>
          <w:szCs w:val="22"/>
        </w:rPr>
        <w:t xml:space="preserve">et al.</w:t>
      </w:r>
      <w:r>
        <w:rPr>
          <w:rFonts w:ascii="Calibri" w:cs="Calibri" w:eastAsia="Calibri" w:hAnsi="Calibri"/>
          <w:sz w:val="22"/>
          <w:szCs w:val="22"/>
        </w:rPr>
        <w:t xml:space="preserve"> reported 92.57% overall but only 80.87% and 85.42% for the two most similar defects [10], and Nguyen </w:t>
      </w:r>
      <w:r>
        <w:rPr>
          <w:rFonts w:ascii="Calibri" w:cs="Calibri" w:eastAsia="Calibri" w:hAnsi="Calibri"/>
          <w:i/>
          <w:iCs/>
          <w:sz w:val="22"/>
          <w:szCs w:val="22"/>
        </w:rPr>
        <w:t xml:space="preserve">et al.</w:t>
      </w:r>
      <w:r>
        <w:rPr>
          <w:rFonts w:ascii="Calibri" w:cs="Calibri" w:eastAsia="Calibri" w:hAnsi="Calibri"/>
          <w:sz w:val="22"/>
          <w:szCs w:val="22"/>
        </w:rPr>
        <w:t xml:space="preserve"> reported 96.74% overall but 79.54% for floating discharge [11]. Per-class precision, recall and F1-score [6] and confusion matrices [5] are therefore needed, especially for the noise / no-PD class, whose misclassification would cause false alarms.</w:t>
      </w:r>
    </w:p>
    <w:p>
      <w:pPr>
        <w:pStyle w:val="Heading3"/>
        <w:spacing w:after="120" w:before="240"/>
      </w:pPr>
      <w:r>
        <w:rPr>
          <w:rFonts w:ascii="Calibri" w:cs="Calibri" w:eastAsia="Calibri" w:hAnsi="Calibri"/>
          <w:b/>
          <w:bCs/>
          <w:color w:val="1F3864"/>
          <w:sz w:val="24"/>
          <w:szCs w:val="24"/>
        </w:rPr>
        <w:t xml:space="preserve">3.2.5.2  Robustness to noise</w:t>
      </w:r>
    </w:p>
    <w:p>
      <w:pPr>
        <w:spacing w:after="140" w:line="276"/>
        <w:jc w:val="both"/>
      </w:pPr>
      <w:r>
        <w:rPr>
          <w:rFonts w:ascii="Calibri" w:cs="Calibri" w:eastAsia="Calibri" w:hAnsi="Calibri"/>
          <w:sz w:val="22"/>
          <w:szCs w:val="22"/>
        </w:rPr>
        <w:t xml:space="preserve">Raymond </w:t>
      </w:r>
      <w:r>
        <w:rPr>
          <w:rFonts w:ascii="Calibri" w:cs="Calibri" w:eastAsia="Calibri" w:hAnsi="Calibri"/>
          <w:i/>
          <w:iCs/>
          <w:sz w:val="22"/>
          <w:szCs w:val="22"/>
        </w:rPr>
        <w:t xml:space="preserve">et al.</w:t>
      </w:r>
      <w:r>
        <w:rPr>
          <w:rFonts w:ascii="Calibri" w:cs="Calibri" w:eastAsia="Calibri" w:hAnsi="Calibri"/>
          <w:sz w:val="22"/>
          <w:szCs w:val="22"/>
        </w:rPr>
        <w:t xml:space="preserve"> tested classifiers trained on clean data from XLPE cable joints with 5–60 s of real noise added (Figure 7). Accuracy fell in every case: from 91.6% to 48.2% for an SVM on statistical features, and from 93.6% to 75.6% for the most robust combination, PCA features with an SVM [8]. Most deep-learning studies were tested only on clean data, and Uckol </w:t>
      </w:r>
      <w:r>
        <w:rPr>
          <w:rFonts w:ascii="Calibri" w:cs="Calibri" w:eastAsia="Calibri" w:hAnsi="Calibri"/>
          <w:i/>
          <w:iCs/>
          <w:sz w:val="22"/>
          <w:szCs w:val="22"/>
        </w:rPr>
        <w:t xml:space="preserve">et al.</w:t>
      </w:r>
      <w:r>
        <w:rPr>
          <w:rFonts w:ascii="Calibri" w:cs="Calibri" w:eastAsia="Calibri" w:hAnsi="Calibri"/>
          <w:sz w:val="22"/>
          <w:szCs w:val="22"/>
        </w:rPr>
        <w:t xml:space="preserve"> and Li </w:t>
      </w:r>
      <w:r>
        <w:rPr>
          <w:rFonts w:ascii="Calibri" w:cs="Calibri" w:eastAsia="Calibri" w:hAnsi="Calibri"/>
          <w:i/>
          <w:iCs/>
          <w:sz w:val="22"/>
          <w:szCs w:val="22"/>
        </w:rPr>
        <w:t xml:space="preserve">et al.</w:t>
      </w:r>
      <w:r>
        <w:rPr>
          <w:rFonts w:ascii="Calibri" w:cs="Calibri" w:eastAsia="Calibri" w:hAnsi="Calibri"/>
          <w:sz w:val="22"/>
          <w:szCs w:val="22"/>
        </w:rPr>
        <w:t xml:space="preserve"> list noise as future work [5], [12], so noise robustness remains an open question for the deep-learning candidates.</w:t>
      </w:r>
    </w:p>
    <w:p>
      <w:pPr>
        <w:spacing w:after="60" w:before="120"/>
        <w:jc w:val="center"/>
      </w:pPr>
      <w:r>
        <w:drawing>
          <wp:inline distT="0" distB="0" distL="0" distR="0">
            <wp:extent cx="57150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2954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7.</w:t>
      </w:r>
      <w:r>
        <w:rPr>
          <w:rFonts w:ascii="Calibri" w:cs="Calibri" w:eastAsia="Calibri" w:hAnsi="Calibri"/>
          <w:i w:val="false"/>
          <w:iCs w:val="false"/>
          <w:sz w:val="20"/>
          <w:szCs w:val="20"/>
        </w:rPr>
        <w:t xml:space="preserve"> Classification accuracy against duration of added real noise for (a) ANN, (b) ANFIS and (c) SVM with statistical, fractal and PCA features. Rearranged from Raymond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[8], Fig. 5, under the CC BY 4.0 licence.</w:t>
      </w:r>
    </w:p>
    <w:p>
      <w:pPr>
        <w:pStyle w:val="Heading3"/>
        <w:spacing w:after="120" w:before="240"/>
      </w:pPr>
      <w:r>
        <w:rPr>
          <w:rFonts w:ascii="Calibri" w:cs="Calibri" w:eastAsia="Calibri" w:hAnsi="Calibri"/>
          <w:b/>
          <w:bCs/>
          <w:color w:val="1F3864"/>
          <w:sz w:val="24"/>
          <w:szCs w:val="24"/>
        </w:rPr>
        <w:t xml:space="preserve">3.2.5.3  Generalisation</w:t>
      </w:r>
    </w:p>
    <w:p>
      <w:pPr>
        <w:pStyle w:val="ListParagraph"/>
        <w:numPr>
          <w:ilvl w:val="0"/>
          <w:numId w:val="2"/>
        </w:numPr>
        <w:spacing w:after="80" w:line="276"/>
        <w:jc w:val="both"/>
      </w:pPr>
      <w:r>
        <w:rPr>
          <w:rFonts w:ascii="Calibri" w:cs="Calibri" w:eastAsia="Calibri" w:hAnsi="Calibri"/>
          <w:b/>
          <w:bCs/>
          <w:sz w:val="22"/>
          <w:szCs w:val="22"/>
        </w:rPr>
        <w:t xml:space="preserve">New specimens.</w:t>
      </w:r>
      <w:r>
        <w:rPr>
          <w:rFonts w:ascii="Calibri" w:cs="Calibri" w:eastAsia="Calibri" w:hAnsi="Calibri"/>
          <w:sz w:val="22"/>
          <w:szCs w:val="22"/>
        </w:rPr>
        <w:t xml:space="preserve"> Uckol </w:t>
      </w:r>
      <w:r>
        <w:rPr>
          <w:rFonts w:ascii="Calibri" w:cs="Calibri" w:eastAsia="Calibri" w:hAnsi="Calibri"/>
          <w:i/>
          <w:iCs/>
          <w:sz w:val="22"/>
          <w:szCs w:val="22"/>
        </w:rPr>
        <w:t xml:space="preserve">et al.</w:t>
      </w:r>
      <w:r>
        <w:rPr>
          <w:rFonts w:ascii="Calibri" w:cs="Calibri" w:eastAsia="Calibri" w:hAnsi="Calibri"/>
          <w:sz w:val="22"/>
          <w:szCs w:val="22"/>
        </w:rPr>
        <w:t xml:space="preserve"> obtained 98.8% when two cable sets were mixed, but 97.2% and 94.3% when training on one set and testing on the other, with 21.7% of void patterns misclassified in the harder case [5].</w:t>
      </w:r>
    </w:p>
    <w:p>
      <w:pPr>
        <w:pStyle w:val="ListParagraph"/>
        <w:numPr>
          <w:ilvl w:val="0"/>
          <w:numId w:val="2"/>
        </w:numPr>
        <w:spacing w:after="80" w:line="276"/>
        <w:jc w:val="both"/>
      </w:pPr>
      <w:r>
        <w:rPr>
          <w:rFonts w:ascii="Calibri" w:cs="Calibri" w:eastAsia="Calibri" w:hAnsi="Calibri"/>
          <w:b/>
          <w:bCs/>
          <w:sz w:val="22"/>
          <w:szCs w:val="22"/>
        </w:rPr>
        <w:t xml:space="preserve">Data splitting.</w:t>
      </w:r>
      <w:r>
        <w:rPr>
          <w:rFonts w:ascii="Calibri" w:cs="Calibri" w:eastAsia="Calibri" w:hAnsi="Calibri"/>
          <w:sz w:val="22"/>
          <w:szCs w:val="22"/>
        </w:rPr>
        <w:t xml:space="preserve"> Overlapping 60-cycle windows split 80/10/10 [11] and random splits of individual pulses [6] can place data from the same recording in both training and test sets, giving optimistic results; splitting by specimen or session avoids this.</w:t>
      </w:r>
    </w:p>
    <w:p>
      <w:pPr>
        <w:pStyle w:val="ListParagraph"/>
        <w:numPr>
          <w:ilvl w:val="0"/>
          <w:numId w:val="2"/>
        </w:numPr>
        <w:spacing w:after="80" w:line="276"/>
        <w:jc w:val="both"/>
      </w:pPr>
      <w:r>
        <w:rPr>
          <w:rFonts w:ascii="Calibri" w:cs="Calibri" w:eastAsia="Calibri" w:hAnsi="Calibri"/>
          <w:b/>
          <w:bCs/>
          <w:sz w:val="22"/>
          <w:szCs w:val="22"/>
        </w:rPr>
        <w:t xml:space="preserve">Data size and conditions.</w:t>
      </w:r>
      <w:r>
        <w:rPr>
          <w:rFonts w:ascii="Calibri" w:cs="Calibri" w:eastAsia="Calibri" w:hAnsi="Calibri"/>
          <w:sz w:val="22"/>
          <w:szCs w:val="22"/>
        </w:rPr>
        <w:t xml:space="preserve"> Accuracy rose from 73.6% to 98.7% as the training share increased from 20% to 90% [6]. PD patterns also change with voltage and ageing [2], and networks may assign unseen patterns to a known class [3].</w:t>
      </w:r>
    </w:p>
    <w:p>
      <w:pPr>
        <w:pStyle w:val="Heading3"/>
        <w:spacing w:after="120" w:before="240"/>
      </w:pPr>
      <w:r>
        <w:rPr>
          <w:rFonts w:ascii="Calibri" w:cs="Calibri" w:eastAsia="Calibri" w:hAnsi="Calibri"/>
          <w:b/>
          <w:bCs/>
          <w:color w:val="1F3864"/>
          <w:sz w:val="24"/>
          <w:szCs w:val="24"/>
        </w:rPr>
        <w:t xml:space="preserve">3.2.5.4  Towards failure prediction</w:t>
      </w:r>
    </w:p>
    <w:p>
      <w:pPr>
        <w:spacing w:after="140" w:line="276"/>
        <w:jc w:val="both"/>
      </w:pPr>
      <w:r>
        <w:rPr>
          <w:rFonts w:ascii="Calibri" w:cs="Calibri" w:eastAsia="Calibri" w:hAnsi="Calibri"/>
          <w:sz w:val="22"/>
          <w:szCs w:val="22"/>
        </w:rPr>
        <w:t xml:space="preserve">Failure prediction requires tracking how PD changes as insulation ages [2]. Two studies show how deep learning can do this:</w:t>
      </w:r>
    </w:p>
    <w:p>
      <w:pPr>
        <w:pStyle w:val="ListParagraph"/>
        <w:numPr>
          <w:ilvl w:val="0"/>
          <w:numId w:val="2"/>
        </w:numPr>
        <w:spacing w:after="80" w:line="276"/>
        <w:jc w:val="both"/>
      </w:pPr>
      <w:r>
        <w:rPr>
          <w:rFonts w:ascii="Calibri" w:cs="Calibri" w:eastAsia="Calibri" w:hAnsi="Calibri"/>
          <w:b/>
          <w:bCs/>
          <w:sz w:val="22"/>
          <w:szCs w:val="22"/>
        </w:rPr>
        <w:t xml:space="preserve">Classifying degradation stage.</w:t>
      </w:r>
      <w:r>
        <w:rPr>
          <w:rFonts w:ascii="Calibri" w:cs="Calibri" w:eastAsia="Calibri" w:hAnsi="Calibri"/>
          <w:sz w:val="22"/>
          <w:szCs w:val="22"/>
        </w:rPr>
        <w:t xml:space="preserve"> Sahoo and Karmakar grew electrical trees in XLPE samples from a 19/33 kV cable and divided growth into fast-growth, slow-growth and breakdown stages, with maximum PD rising from 120 to 189 to 234 pC. A CNN classified the stages from PRPD images with 98.44% accuracy and DenseNet201 with 99.78%; the model was trained at 12 kV and tested at 11 and 14 kV [13].</w:t>
      </w:r>
    </w:p>
    <w:p>
      <w:pPr>
        <w:pStyle w:val="ListParagraph"/>
        <w:numPr>
          <w:ilvl w:val="0"/>
          <w:numId w:val="2"/>
        </w:numPr>
        <w:spacing w:after="80" w:line="276"/>
        <w:jc w:val="both"/>
      </w:pPr>
      <w:r>
        <w:rPr>
          <w:rFonts w:ascii="Calibri" w:cs="Calibri" w:eastAsia="Calibri" w:hAnsi="Calibri"/>
          <w:b/>
          <w:bCs/>
          <w:sz w:val="22"/>
          <w:szCs w:val="22"/>
        </w:rPr>
        <w:t xml:space="preserve">Forecasting a failure precursor.</w:t>
      </w:r>
      <w:r>
        <w:rPr>
          <w:rFonts w:ascii="Calibri" w:cs="Calibri" w:eastAsia="Calibri" w:hAnsi="Calibri"/>
          <w:sz w:val="22"/>
          <w:szCs w:val="22"/>
        </w:rPr>
        <w:t xml:space="preserve"> Wang </w:t>
      </w:r>
      <w:r>
        <w:rPr>
          <w:rFonts w:ascii="Calibri" w:cs="Calibri" w:eastAsia="Calibri" w:hAnsi="Calibri"/>
          <w:i/>
          <w:iCs/>
          <w:sz w:val="22"/>
          <w:szCs w:val="22"/>
        </w:rPr>
        <w:t xml:space="preserve">et al.</w:t>
      </w:r>
      <w:r>
        <w:rPr>
          <w:rFonts w:ascii="Calibri" w:cs="Calibri" w:eastAsia="Calibri" w:hAnsi="Calibri"/>
          <w:sz w:val="22"/>
          <w:szCs w:val="22"/>
        </w:rPr>
        <w:t xml:space="preserve"> aged winding insulation until failure while recording PD with an HFCT. An autoencoder combined three PD features into one failure precursor, and an LSTM predicted its next 50 values (a 50 s warning) with a maximum error of about 3%, around half that of ARIMA and SVM [14].</w:t>
      </w:r>
    </w:p>
    <w:p>
      <w:pPr>
        <w:spacing w:after="140" w:line="276"/>
        <w:jc w:val="both"/>
      </w:pPr>
      <w:r>
        <w:rPr>
          <w:rFonts w:ascii="Calibri" w:cs="Calibri" w:eastAsia="Calibri" w:hAnsi="Calibri"/>
          <w:sz w:val="22"/>
          <w:szCs w:val="22"/>
        </w:rPr>
        <w:t xml:space="preserve">Both studies needed run-to-failure data from accelerated-ageing tests. Whether such tests are feasible in the laboratory will be assessed during the rest of this semester. The review also suggests that next semester’s experiments should split data by specimen and session, report per-class metrics, test all models on the same split with real laboratory noise, and include an “unknown” output for low-confidence cases.</w:t>
      </w:r>
    </w:p>
    <w:p>
      <w:pPr>
        <w:pStyle w:val="Heading3"/>
        <w:spacing w:after="120" w:before="240"/>
      </w:pPr>
      <w:r>
        <w:rPr>
          <w:rFonts w:ascii="Calibri" w:cs="Calibri" w:eastAsia="Calibri" w:hAnsi="Calibri"/>
          <w:b/>
          <w:bCs/>
          <w:color w:val="1F3864"/>
          <w:sz w:val="24"/>
          <w:szCs w:val="24"/>
        </w:rPr>
        <w:t xml:space="preserve">References used in these sections</w:t>
      </w:r>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fsoqqqil5uh7kq2nkwfvf">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f9iireogaonb1x_mfktvw">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0fujchm75pzxrurcz39ko">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6uchfrvomyjdl8rj6yolu">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o9rlgrk20ujnhu2mfwpeu">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djsbks9msxyn_pu7grrzy">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a9pep2w-ugnutillunpgx">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[10]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“A convolutional neural network-based deep learning methodology for recognition of partial discharge patterns from high-voltage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1460–1469, 2019.</w:t>
      </w:r>
      <w:r>
        <w:rPr>
          <w:rFonts w:ascii="Calibri" w:cs="Calibri" w:eastAsia="Calibri" w:hAnsi="Calibri"/>
          <w:sz w:val="22"/>
          <w:szCs w:val="22"/>
        </w:rPr>
        <w:t xml:space="preserve"> </w:t>
      </w:r>
      <w:hyperlink w:history="1" r:id="rIdht90amg2qei4vvnsjl0ky">
        <w:r>
          <w:rPr>
            <w:rStyle w:val="Hyperlink"/>
            <w:rFonts w:ascii="Calibri" w:cs="Calibri" w:eastAsia="Calibri" w:hAnsi="Calibri"/>
            <w:sz w:val="22"/>
            <w:szCs w:val="22"/>
          </w:rPr>
          <w:t xml:space="preserve">https://doi.org/10.1109/TPWRD.2019.2906086</w:t>
        </w:r>
      </w:hyperlink>
    </w:p>
    <w:p>
      <w:pPr>
        <w:spacing w:after="100"/>
        <w:ind w:left="500" w:hanging="500"/>
      </w:pPr>
      <w:r>
        <w:rPr>
          <w:rFonts w:ascii="Calibri" w:cs="Calibri" w:eastAsia="Calibri" w:hAnsi="Calibri"/>
          <w:sz w:val="22"/>
          <w:szCs w:val="22"/>
        </w:rPr>
        <w:t xml:space="preserve">[11]	</w:t>
      </w:r>
      <w:r>
        <w:rPr>
          <w:rFonts w:ascii="Calibri" w:cs="Calibri" w:eastAsia="Calibri" w:hAnsi="Calibri"/>
          <w:sz w:val="22"/>
          <w:szCs w:val="22"/>
        </w:rPr>
        <w:t xml:space="preserve">M.-T. Nguyen, V.-H. Nguyen, S.-J. Yun, and Y.-H. Kim, “Recurrent neural network for partial discharge diagnosis in gas-insulated switchgear,” </w:t>
      </w:r>
      <w:r>
        <w:rPr>
          <w:rFonts w:ascii="Calibri" w:cs="Calibri" w:eastAsia="Calibri" w:hAnsi="Calibri"/>
          <w:i/>
          <w:iCs/>
          <w:sz w:val="22"/>
          <w:szCs w:val="22"/>
        </w:rPr>
        <w:t xml:space="preserve">Energies</w:t>
      </w:r>
      <w:r>
        <w:rPr>
          <w:rFonts w:ascii="Calibri" w:cs="Calibri" w:eastAsia="Calibri" w:hAnsi="Calibri"/>
          <w:sz w:val="22"/>
          <w:szCs w:val="22"/>
        </w:rPr>
        <w:t xml:space="preserve">, vol. 11, no. 5, 1202, 2018.</w:t>
      </w:r>
      <w:r>
        <w:rPr>
          <w:rFonts w:ascii="Calibri" w:cs="Calibri" w:eastAsia="Calibri" w:hAnsi="Calibri"/>
          <w:sz w:val="22"/>
          <w:szCs w:val="22"/>
        </w:rPr>
        <w:t xml:space="preserve"> </w:t>
      </w:r>
      <w:hyperlink w:history="1" r:id="rIdmc6wjb9xtwfmnok4uwfsy">
        <w:r>
          <w:rPr>
            <w:rStyle w:val="Hyperlink"/>
            <w:rFonts w:ascii="Calibri" w:cs="Calibri" w:eastAsia="Calibri" w:hAnsi="Calibri"/>
            <w:sz w:val="22"/>
            <w:szCs w:val="22"/>
          </w:rPr>
          <w:t xml:space="preserve">https://doi.org/10.3390/en11051202</w:t>
        </w:r>
      </w:hyperlink>
    </w:p>
    <w:p>
      <w:pPr>
        <w:spacing w:after="100"/>
        <w:ind w:left="500" w:hanging="500"/>
      </w:pPr>
      <w:r>
        <w:rPr>
          <w:rFonts w:ascii="Calibri" w:cs="Calibri" w:eastAsia="Calibri" w:hAnsi="Calibri"/>
          <w:sz w:val="22"/>
          <w:szCs w:val="22"/>
        </w:rPr>
        <w:t xml:space="preserve">[12]	</w:t>
      </w:r>
      <w:r>
        <w:rPr>
          <w:rFonts w:ascii="Calibri" w:cs="Calibri" w:eastAsia="Calibri" w:hAnsi="Calibri"/>
          <w:sz w:val="22"/>
          <w:szCs w:val="22"/>
        </w:rPr>
        <w:t xml:space="preserve">Y. Li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pattern recognition based on Swin Transformer for power cable fault diagnosis in modern distribution systems,” </w:t>
      </w:r>
      <w:r>
        <w:rPr>
          <w:rFonts w:ascii="Calibri" w:cs="Calibri" w:eastAsia="Calibri" w:hAnsi="Calibri"/>
          <w:i/>
          <w:iCs/>
          <w:sz w:val="22"/>
          <w:szCs w:val="22"/>
        </w:rPr>
        <w:t xml:space="preserve">Processes</w:t>
      </w:r>
      <w:r>
        <w:rPr>
          <w:rFonts w:ascii="Calibri" w:cs="Calibri" w:eastAsia="Calibri" w:hAnsi="Calibri"/>
          <w:sz w:val="22"/>
          <w:szCs w:val="22"/>
        </w:rPr>
        <w:t xml:space="preserve">, vol. 13, no. 3, 852, 2025.</w:t>
      </w:r>
      <w:r>
        <w:rPr>
          <w:rFonts w:ascii="Calibri" w:cs="Calibri" w:eastAsia="Calibri" w:hAnsi="Calibri"/>
          <w:sz w:val="22"/>
          <w:szCs w:val="22"/>
        </w:rPr>
        <w:t xml:space="preserve"> </w:t>
      </w:r>
      <w:hyperlink w:history="1" r:id="rIdqh-mqglivtayerlyl2hry">
        <w:r>
          <w:rPr>
            <w:rStyle w:val="Hyperlink"/>
            <w:rFonts w:ascii="Calibri" w:cs="Calibri" w:eastAsia="Calibri" w:hAnsi="Calibri"/>
            <w:sz w:val="22"/>
            <w:szCs w:val="22"/>
          </w:rPr>
          <w:t xml:space="preserve">https://doi.org/10.3390/pr13030852</w:t>
        </w:r>
      </w:hyperlink>
    </w:p>
    <w:p>
      <w:pPr>
        <w:spacing w:after="100"/>
        <w:ind w:left="500" w:hanging="500"/>
      </w:pPr>
      <w:r>
        <w:rPr>
          <w:rFonts w:ascii="Calibri" w:cs="Calibri" w:eastAsia="Calibri" w:hAnsi="Calibri"/>
          <w:sz w:val="22"/>
          <w:szCs w:val="22"/>
        </w:rPr>
        <w:t xml:space="preserve">[13]	</w:t>
      </w:r>
      <w:r>
        <w:rPr>
          <w:rFonts w:ascii="Calibri" w:cs="Calibri" w:eastAsia="Calibri" w:hAnsi="Calibri"/>
          <w:sz w:val="22"/>
          <w:szCs w:val="22"/>
        </w:rPr>
        <w:t xml:space="preserve">R. Sahoo and S. Karmakar, “Investigation of electrical tree growth characteristics and partial discharge pattern analysis using deep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220, 109287, 2023.</w:t>
      </w:r>
      <w:r>
        <w:rPr>
          <w:rFonts w:ascii="Calibri" w:cs="Calibri" w:eastAsia="Calibri" w:hAnsi="Calibri"/>
          <w:sz w:val="22"/>
          <w:szCs w:val="22"/>
        </w:rPr>
        <w:t xml:space="preserve"> </w:t>
      </w:r>
      <w:hyperlink w:history="1" r:id="rIdbhlxqnxhsyymxowfe_hjk">
        <w:r>
          <w:rPr>
            <w:rStyle w:val="Hyperlink"/>
            <w:rFonts w:ascii="Calibri" w:cs="Calibri" w:eastAsia="Calibri" w:hAnsi="Calibri"/>
            <w:sz w:val="22"/>
            <w:szCs w:val="22"/>
          </w:rPr>
          <w:t xml:space="preserve">https://doi.org/10.1016/j.epsr.2023.109287</w:t>
        </w:r>
      </w:hyperlink>
    </w:p>
    <w:p>
      <w:pPr>
        <w:spacing w:after="100"/>
        <w:ind w:left="500" w:hanging="500"/>
      </w:pPr>
      <w:r>
        <w:rPr>
          <w:rFonts w:ascii="Calibri" w:cs="Calibri" w:eastAsia="Calibri" w:hAnsi="Calibri"/>
          <w:sz w:val="22"/>
          <w:szCs w:val="22"/>
        </w:rPr>
        <w:t xml:space="preserve">[14]	</w:t>
      </w:r>
      <w:r>
        <w:rPr>
          <w:rFonts w:ascii="Calibri" w:cs="Calibri" w:eastAsia="Calibri" w:hAnsi="Calibri"/>
          <w:sz w:val="22"/>
          <w:szCs w:val="22"/>
        </w:rPr>
        <w:t xml:space="preserve">Y. Wang, J. Wu, T. Han, K. Haran, and Y. Yin, “Insulation condition forewarning of form-wound winding for electric aircraft propulsion based on partial discharge and deep learning neural network,” </w:t>
      </w:r>
      <w:r>
        <w:rPr>
          <w:rFonts w:ascii="Calibri" w:cs="Calibri" w:eastAsia="Calibri" w:hAnsi="Calibri"/>
          <w:i/>
          <w:iCs/>
          <w:sz w:val="22"/>
          <w:szCs w:val="22"/>
        </w:rPr>
        <w:t xml:space="preserve">High Voltage</w:t>
      </w:r>
      <w:r>
        <w:rPr>
          <w:rFonts w:ascii="Calibri" w:cs="Calibri" w:eastAsia="Calibri" w:hAnsi="Calibri"/>
          <w:sz w:val="22"/>
          <w:szCs w:val="22"/>
        </w:rPr>
        <w:t xml:space="preserve">, vol. 6, no. 2, pp. 302–313, 2021.</w:t>
      </w:r>
      <w:r>
        <w:rPr>
          <w:rFonts w:ascii="Calibri" w:cs="Calibri" w:eastAsia="Calibri" w:hAnsi="Calibri"/>
          <w:sz w:val="22"/>
          <w:szCs w:val="22"/>
        </w:rPr>
        <w:t xml:space="preserve"> </w:t>
      </w:r>
      <w:hyperlink w:history="1" r:id="rIdlfsxklbhchseorfrguhjg">
        <w:r>
          <w:rPr>
            <w:rStyle w:val="Hyperlink"/>
            <w:rFonts w:ascii="Calibri" w:cs="Calibri" w:eastAsia="Calibri" w:hAnsi="Calibri"/>
            <w:sz w:val="22"/>
            <w:szCs w:val="22"/>
          </w:rPr>
          <w:t xml:space="preserve">https://doi.org/10.1049/hve2.12034</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soqqqil5uh7kq2nkwfvf" Type="http://schemas.openxmlformats.org/officeDocument/2006/relationships/hyperlink" Target="https://doi.org/10.1109/94.469976" TargetMode="External"/><Relationship Id="rIdf9iireogaonb1x_mfktvw" Type="http://schemas.openxmlformats.org/officeDocument/2006/relationships/hyperlink" Target="https://doi.org/10.1109/14.249372" TargetMode="External"/><Relationship Id="rId0fujchm75pzxrurcz39ko" Type="http://schemas.openxmlformats.org/officeDocument/2006/relationships/hyperlink" Target="https://doi.org/10.3390/en17051142" TargetMode="External"/><Relationship Id="rId6uchfrvomyjdl8rj6yolu" Type="http://schemas.openxmlformats.org/officeDocument/2006/relationships/hyperlink" Target="https://doi.org/10.1016/j.epsr.2021.107105" TargetMode="External"/><Relationship Id="rIdo9rlgrk20ujnhu2mfwpeu" Type="http://schemas.openxmlformats.org/officeDocument/2006/relationships/hyperlink" Target="https://doi.org/10.3390/s24082660" TargetMode="External"/><Relationship Id="rIddjsbks9msxyn_pu7grrzy" Type="http://schemas.openxmlformats.org/officeDocument/2006/relationships/hyperlink" Target="https://doi.org/10.3390/s24113460" TargetMode="External"/><Relationship Id="rIda9pep2w-ugnutillunpgx" Type="http://schemas.openxmlformats.org/officeDocument/2006/relationships/hyperlink" Target="https://doi.org/10.1371/journal.pone.0170111" TargetMode="External"/><Relationship Id="rIdht90amg2qei4vvnsjl0ky" Type="http://schemas.openxmlformats.org/officeDocument/2006/relationships/hyperlink" Target="https://doi.org/10.1109/TPWRD.2019.2906086" TargetMode="External"/><Relationship Id="rIdmc6wjb9xtwfmnok4uwfsy" Type="http://schemas.openxmlformats.org/officeDocument/2006/relationships/hyperlink" Target="https://doi.org/10.3390/en11051202" TargetMode="External"/><Relationship Id="rIdqh-mqglivtayerlyl2hry" Type="http://schemas.openxmlformats.org/officeDocument/2006/relationships/hyperlink" Target="https://doi.org/10.3390/pr13030852" TargetMode="External"/><Relationship Id="rIdbhlxqnxhsyymxowfe_hjk" Type="http://schemas.openxmlformats.org/officeDocument/2006/relationships/hyperlink" Target="https://doi.org/10.1016/j.epsr.2023.109287" TargetMode="External"/><Relationship Id="rIdlfsxklbhchseorfrguhjg" Type="http://schemas.openxmlformats.org/officeDocument/2006/relationships/hyperlink" Target="https://doi.org/10.1049/hve2.12034" TargetMode="External"/><Relationship Id="rId8" Type="http://schemas.openxmlformats.org/officeDocument/2006/relationships/image" Target="media/a6738b88118c3c744d4216cf0e1b1eb71900e80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2026-10-05T16:15:31.641Z</dcterms:created>
  <dcterms:modified xsi:type="dcterms:W3CDTF">2026-10-05T16:15:31.646Z</dcterms:modified>
</cp:coreProperties>
</file>

<file path=docProps/custom.xml><?xml version="1.0" encoding="utf-8"?>
<Properties xmlns="http://schemas.openxmlformats.org/officeDocument/2006/custom-properties" xmlns:vt="http://schemas.openxmlformats.org/officeDocument/2006/docPropsVTypes"/>
</file>