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120" w:before="240"/>
      </w:pPr>
      <w:r>
        <w:rPr>
          <w:rFonts w:ascii="Calibri" w:cs="Calibri" w:eastAsia="Calibri" w:hAnsi="Calibri"/>
          <w:b/>
          <w:bCs/>
          <w:color w:val="1F3864"/>
          <w:sz w:val="28"/>
          <w:szCs w:val="28"/>
        </w:rPr>
        <w:t xml:space="preserve">2.5.2  Traditional Machine-Learning Approaches</w:t>
      </w:r>
    </w:p>
    <w:p>
      <w:pPr>
        <w:spacing w:after="140" w:line="276"/>
        <w:jc w:val="both"/>
      </w:pPr>
      <w:r>
        <w:rPr>
          <w:rFonts w:ascii="Calibri" w:cs="Calibri" w:eastAsia="Calibri" w:hAnsi="Calibri"/>
          <w:sz w:val="22"/>
          <w:szCs w:val="22"/>
        </w:rPr>
        <w:t xml:space="preserve">Traditional (conventional) machine learning for PD relies on </w:t>
      </w:r>
      <w:r>
        <w:rPr>
          <w:rFonts w:ascii="Calibri" w:cs="Calibri" w:eastAsia="Calibri" w:hAnsi="Calibri"/>
          <w:b/>
          <w:bCs/>
          <w:sz w:val="22"/>
          <w:szCs w:val="22"/>
        </w:rPr>
        <w:t xml:space="preserve">hand-crafted features</w:t>
      </w:r>
      <w:r>
        <w:rPr>
          <w:rFonts w:ascii="Calibri" w:cs="Calibri" w:eastAsia="Calibri" w:hAnsi="Calibri"/>
          <w:sz w:val="22"/>
          <w:szCs w:val="22"/>
        </w:rPr>
        <w:t xml:space="preserve">. Statistical, fractal, time-domain, frequency-domain and other features are first extracted from the measured data, often with the help of signal-processing tools such as the discrete wavelet transform (DWT), and are then classified with algorithms such as artificial neural networks (ANNs), support vector machines (SVMs) and fuzzy inference systems [4]. This follows the two-step structure introduced in Section 2.5.1: extraction of a feature vector, followed by classification [2]. A key requirement is a correctly labelled training set containing a representative number of samples from each class (for example internal, surface and corona discharges), with the class of every training sample determined by an expert [4].</w:t>
      </w:r>
    </w:p>
    <w:p>
      <w:pPr>
        <w:pStyle w:val="Heading3"/>
        <w:spacing w:after="120" w:before="240"/>
      </w:pPr>
      <w:r>
        <w:rPr>
          <w:rFonts w:ascii="Calibri" w:cs="Calibri" w:eastAsia="Calibri" w:hAnsi="Calibri"/>
          <w:b/>
          <w:bCs/>
          <w:color w:val="1F3864"/>
          <w:sz w:val="24"/>
          <w:szCs w:val="24"/>
        </w:rPr>
        <w:t xml:space="preserve">2.5.2.1  Hand-crafted features</w:t>
      </w:r>
    </w:p>
    <w:p>
      <w:pPr>
        <w:spacing w:after="140" w:line="276"/>
        <w:jc w:val="both"/>
      </w:pPr>
      <w:r>
        <w:rPr>
          <w:rFonts w:ascii="Calibri" w:cs="Calibri" w:eastAsia="Calibri" w:hAnsi="Calibri"/>
          <w:b/>
          <w:bCs/>
          <w:sz w:val="22"/>
          <w:szCs w:val="22"/>
        </w:rPr>
        <w:t xml:space="preserve">Phase-resolved (statistical) features.</w:t>
      </w:r>
      <w:r>
        <w:rPr>
          <w:rFonts w:ascii="Calibri" w:cs="Calibri" w:eastAsia="Calibri" w:hAnsi="Calibri"/>
          <w:sz w:val="22"/>
          <w:szCs w:val="22"/>
        </w:rPr>
        <w:t xml:space="preserve"> Gulski and Krivda described the shape of the phase-resolved distributions with a set of 15 statistical operators [5]. The operators are computed from the mean pulse-height distribution Hqn(φ) and the pulse-count distribution Hn(φ), each split into the positive and negative half-cycles of the test voltage [5]. Table 3 summarises the main operators. Other phase-resolved descriptors include fractal features (fractal dimension and lacunarity) that treat the 3-D PRPD pattern as a fractal surface [2], and features obtained by principal component analysis (PCA) [1].</w:t>
      </w:r>
    </w:p>
    <w:p>
      <w:pPr>
        <w:spacing w:after="80" w:before="200"/>
        <w:jc w:val="center"/>
      </w:pPr>
      <w:r>
        <w:rPr>
          <w:rFonts w:ascii="Calibri" w:cs="Calibri" w:eastAsia="Calibri" w:hAnsi="Calibri"/>
          <w:b/>
          <w:bCs/>
          <w:sz w:val="20"/>
          <w:szCs w:val="20"/>
        </w:rPr>
        <w:t xml:space="preserve">Table 3.</w:t>
      </w:r>
      <w:r>
        <w:rPr>
          <w:rFonts w:ascii="Calibri" w:cs="Calibri" w:eastAsia="Calibri" w:hAnsi="Calibri"/>
          <w:sz w:val="20"/>
          <w:szCs w:val="20"/>
        </w:rPr>
        <w:t xml:space="preserve"> Main statistical operators used to describe phase-resolved PD distributions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Operator</w:t>
            </w:r>
          </w:p>
        </w:tc>
        <w:tc>
          <w:tcPr>
            <w:tcW w:type="dxa" w:w="34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What it describes</w:t>
            </w:r>
          </w:p>
        </w:tc>
        <w:tc>
          <w:tcPr>
            <w:tcW w:type="dxa" w:w="34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Interpretation</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Skewness (Sk)</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Asymmetry of a distribution relative to a normal distribution</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Sk = 0: symmetric; Sk &gt; 0: asymmetric to the left; Sk &lt; 0: asymmetric to the right</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Kurtosis (Ku)</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Sharpness of a distribution relative to a normal distribution</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Ku = 0: normal; Ku &gt; 0: sharp; Ku &lt; 0: flat</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Number of peaks (Pe)</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Number of local tops in the distribution</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Separates single-top distributions from bimodal or multi-peak ones</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Cross-correlation factor (cc)</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Difference in shape between the positive and negative half-cycle distributions</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cc = 1: identical shape; cc = 0: total asymmetry</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Discharge factor (Q)</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Difference in mean discharge level between the two half-cycles</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Q = 1: equal levels; Q = 0: total difference</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Modified cross-correlation (mcc)</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Combined shape and level difference</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mcc = Q · cc</w:t>
            </w:r>
          </w:p>
        </w:tc>
      </w:tr>
    </w:tbl>
    <w:p>
      <w:pPr>
        <w:spacing w:after="140" w:line="276"/>
        <w:jc w:val="both"/>
      </w:pPr>
      <w:r>
        <w:rPr>
          <w:rFonts w:ascii="Calibri" w:cs="Calibri" w:eastAsia="Calibri" w:hAnsi="Calibri"/>
          <w:b/>
          <w:bCs/>
          <w:sz w:val="22"/>
          <w:szCs w:val="22"/>
        </w:rPr>
        <w:t xml:space="preserve">Time-resolved, frequency and wavelet features.</w:t>
      </w:r>
      <w:r>
        <w:rPr>
          <w:rFonts w:ascii="Calibri" w:cs="Calibri" w:eastAsia="Calibri" w:hAnsi="Calibri"/>
          <w:sz w:val="22"/>
          <w:szCs w:val="22"/>
        </w:rPr>
        <w:t xml:space="preserve"> When individual pulses are recorded, features can be taken directly from the time-domain waveform: peak-to-peak intervals, zero-crossings, mean, maximum and minimum amplitudes, the number of peaks, and statistical moments such as variance, skewness, kurtosis and root mean square [4]. General features (average discharge current, number of pulses, pulse repetition rate and pulse charge) and pulse-specific features (pulse width, rise time and decay time) are also used [4]. Frequency-domain features are obtained with the Fourier transform, the FFT and the short-time Fourier transform, and the wavelet transform analyses the signal in time and frequency simultaneously [4]. Table 4 compares the three most common techniques.</w:t>
      </w:r>
    </w:p>
    <w:p>
      <w:pPr>
        <w:spacing w:after="80" w:before="200"/>
        <w:jc w:val="center"/>
      </w:pPr>
      <w:r>
        <w:rPr>
          <w:rFonts w:ascii="Calibri" w:cs="Calibri" w:eastAsia="Calibri" w:hAnsi="Calibri"/>
          <w:b/>
          <w:bCs/>
          <w:sz w:val="20"/>
          <w:szCs w:val="20"/>
        </w:rPr>
        <w:t xml:space="preserve">Table 4.</w:t>
      </w:r>
      <w:r>
        <w:rPr>
          <w:rFonts w:ascii="Calibri" w:cs="Calibri" w:eastAsia="Calibri" w:hAnsi="Calibri"/>
          <w:sz w:val="20"/>
          <w:szCs w:val="20"/>
        </w:rPr>
        <w:t xml:space="preserve"> Advantages and disadvantages of common feature-extraction techniques (adapted from Kumar </w:t>
      </w:r>
      <w:r>
        <w:rPr>
          <w:rFonts w:ascii="Calibri" w:cs="Calibri" w:eastAsia="Calibri" w:hAnsi="Calibri"/>
          <w:i/>
          <w:iCs/>
          <w:sz w:val="20"/>
          <w:szCs w:val="20"/>
        </w:rPr>
        <w:t xml:space="preserve">et al.</w:t>
      </w:r>
      <w:r>
        <w:rPr>
          <w:rFonts w:ascii="Calibri" w:cs="Calibri" w:eastAsia="Calibri" w:hAnsi="Calibri"/>
          <w:sz w:val="20"/>
          <w:szCs w:val="20"/>
        </w:rPr>
        <w:t xml:space="preserve"> [4], Table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63"/>
        <w:gridCol w:w="3763"/>
      </w:tblGrid>
      <w:tr>
        <w:trPr>
          <w:tblHeader/>
        </w:trPr>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Technique</w:t>
            </w:r>
          </w:p>
        </w:tc>
        <w:tc>
          <w:tcPr>
            <w:tcW w:type="dxa" w:w="3763"/>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Advantages</w:t>
            </w:r>
          </w:p>
        </w:tc>
        <w:tc>
          <w:tcPr>
            <w:tcW w:type="dxa" w:w="3763"/>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Disadvantages</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Very effective for analysing repetitive PD patterns; provides temporal discharge information</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Limited to signals with repetitive patterns; may not capture the frequency content of the signal</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FFT</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Computationally efficient; gives information on repetitive patterns and frequency content</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No temporal information on the frequency components; may be unsuitable for non-stationary signals</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DWT</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Time–frequency localisation; suitable for non-stationary signals; provides high- and low-frequency components</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More computationally intensive than the FFT; results depend on the choice of wavelet and decomposition level</w:t>
            </w:r>
          </w:p>
        </w:tc>
      </w:tr>
    </w:tbl>
    <w:p>
      <w:pPr>
        <w:spacing w:after="140" w:line="276"/>
        <w:jc w:val="both"/>
      </w:pPr>
      <w:r>
        <w:rPr>
          <w:rFonts w:ascii="Calibri" w:cs="Calibri" w:eastAsia="Calibri" w:hAnsi="Calibri"/>
          <w:sz w:val="22"/>
          <w:szCs w:val="22"/>
        </w:rPr>
        <w:t xml:space="preserve">Each feature family has trade-offs. Statistical parameters allow large PD datasets to be processed quickly, but their results can be affected by noise; signal- and image-processing features are precise but costly, time-consuming and require high-quality signals; and fractal features are unaffected by signal shifting, rotation and scaling but are hard to tune because they are sensitive to parameter choice [4]. Most of these techniques still require a skilled operator to verify the computational parameters [4]. Time-domain features are also linked to the noise-affected pulse peak value, and thresholding leads to less precise classification [4].</w:t>
      </w:r>
    </w:p>
    <w:p>
      <w:pPr>
        <w:spacing w:after="140" w:line="276"/>
        <w:jc w:val="both"/>
      </w:pPr>
      <w:r>
        <w:rPr>
          <w:rFonts w:ascii="Calibri" w:cs="Calibri" w:eastAsia="Calibri" w:hAnsi="Calibri"/>
          <w:b/>
          <w:bCs/>
          <w:sz w:val="22"/>
          <w:szCs w:val="22"/>
        </w:rPr>
        <w:t xml:space="preserve">Feature selection.</w:t>
      </w:r>
      <w:r>
        <w:rPr>
          <w:rFonts w:ascii="Calibri" w:cs="Calibri" w:eastAsia="Calibri" w:hAnsi="Calibri"/>
          <w:sz w:val="22"/>
          <w:szCs w:val="22"/>
        </w:rPr>
        <w:t xml:space="preserve"> Because many candidate features can be extracted, feature selection is often needed. Peng </w:t>
      </w:r>
      <w:r>
        <w:rPr>
          <w:rFonts w:ascii="Calibri" w:cs="Calibri" w:eastAsia="Calibri" w:hAnsi="Calibri"/>
          <w:i/>
          <w:iCs/>
          <w:sz w:val="22"/>
          <w:szCs w:val="22"/>
        </w:rPr>
        <w:t xml:space="preserve">et al.</w:t>
      </w:r>
      <w:r>
        <w:rPr>
          <w:rFonts w:ascii="Calibri" w:cs="Calibri" w:eastAsia="Calibri" w:hAnsi="Calibri"/>
          <w:sz w:val="22"/>
          <w:szCs w:val="22"/>
        </w:rPr>
        <w:t xml:space="preserve"> extracted 34 PD features from 3 500 PD pulses and 3 500 interference pulses recorded from defects created in a cable, generated a further 119 two-dimensional and 1 082 three-dimensional features, and used a random-forest (RF) algorithm to select the optimal features; the selected features were evaluated with a back-propagation neural network (BPNN) and an SVM, and the method was reported to be effective [9]. Feature selection matters because the amount of data required grows with the number of features (approximately 5–20 fingerprints per feature, Section 2.5.1) [3].</w:t>
      </w:r>
    </w:p>
    <w:p>
      <w:pPr>
        <w:pStyle w:val="Heading3"/>
        <w:spacing w:after="120" w:before="240"/>
      </w:pPr>
      <w:r>
        <w:rPr>
          <w:rFonts w:ascii="Calibri" w:cs="Calibri" w:eastAsia="Calibri" w:hAnsi="Calibri"/>
          <w:b/>
          <w:bCs/>
          <w:color w:val="1F3864"/>
          <w:sz w:val="24"/>
          <w:szCs w:val="24"/>
        </w:rPr>
        <w:t xml:space="preserve">2.5.2.2  Classifiers</w:t>
      </w:r>
    </w:p>
    <w:p>
      <w:pPr>
        <w:spacing w:after="140" w:line="276"/>
        <w:jc w:val="both"/>
      </w:pPr>
      <w:r>
        <w:rPr>
          <w:rFonts w:ascii="Calibri" w:cs="Calibri" w:eastAsia="Calibri" w:hAnsi="Calibri"/>
          <w:b/>
          <w:bCs/>
          <w:sz w:val="22"/>
          <w:szCs w:val="22"/>
        </w:rPr>
        <w:t xml:space="preserve">Artificial neural networks.</w:t>
      </w:r>
      <w:r>
        <w:rPr>
          <w:rFonts w:ascii="Calibri" w:cs="Calibri" w:eastAsia="Calibri" w:hAnsi="Calibri"/>
          <w:sz w:val="22"/>
          <w:szCs w:val="22"/>
        </w:rPr>
        <w:t xml:space="preserve"> Neural networks were among the first automated PD classifiers. Gulski and Krivda fed the 15 statistical operators into three networks, a back-propagation network, a Kohonen self-organising map and a learning vector quantisation network, using PD measured with a conventional detector of 40–400 kHz bandwidth [5]. All networks recognised trained defects well; with twelve defect types the back-propagation network showed the best ability to learn, and the results were only slightly dependent on the number of processing elements, learning cycles and convergence criterion [5]. Training took about 3 min for two defects and from 30 min to 3 h for twelve defects, and patterns for which the networks were not trained could be wrongly recognised as one of the known defects [5].</w:t>
      </w:r>
    </w:p>
    <w:p>
      <w:pPr>
        <w:spacing w:after="140" w:line="276"/>
        <w:jc w:val="both"/>
      </w:pPr>
      <w:r>
        <w:rPr>
          <w:rFonts w:ascii="Calibri" w:cs="Calibri" w:eastAsia="Calibri" w:hAnsi="Calibri"/>
          <w:sz w:val="22"/>
          <w:szCs w:val="22"/>
        </w:rPr>
        <w:t xml:space="preserve">In PD analysis a three-layer, fully connected network that maps a feature vector to one of the PD classes is frequently used, and feed-forward back-propagation is the most widely used learning mode [4]. ANNs learn from examples, are insensitive to slight changes in the input data, and can identify a fault within seconds once trained offline [4]. Their limitations include overtraining, the small number of real PD examples available, and slower identification when several errors or noise sources are present [4]. Kumar </w:t>
      </w:r>
      <w:r>
        <w:rPr>
          <w:rFonts w:ascii="Calibri" w:cs="Calibri" w:eastAsia="Calibri" w:hAnsi="Calibri"/>
          <w:i/>
          <w:iCs/>
          <w:sz w:val="22"/>
          <w:szCs w:val="22"/>
        </w:rPr>
        <w:t xml:space="preserve">et al.</w:t>
      </w:r>
      <w:r>
        <w:rPr>
          <w:rFonts w:ascii="Calibri" w:cs="Calibri" w:eastAsia="Calibri" w:hAnsi="Calibri"/>
          <w:sz w:val="22"/>
          <w:szCs w:val="22"/>
        </w:rPr>
        <w:t xml:space="preserve"> also note that three-layer networks are significantly less effective than classifiers such as random forests or SVMs and need a lot of data and time to train [4].</w:t>
      </w:r>
    </w:p>
    <w:p>
      <w:pPr>
        <w:spacing w:after="140" w:line="276"/>
        <w:jc w:val="both"/>
      </w:pPr>
      <w:r>
        <w:rPr>
          <w:rFonts w:ascii="Calibri" w:cs="Calibri" w:eastAsia="Calibri" w:hAnsi="Calibri"/>
          <w:b/>
          <w:bCs/>
          <w:sz w:val="22"/>
          <w:szCs w:val="22"/>
        </w:rPr>
        <w:t xml:space="preserve">Support vector machines.</w:t>
      </w:r>
      <w:r>
        <w:rPr>
          <w:rFonts w:ascii="Calibri" w:cs="Calibri" w:eastAsia="Calibri" w:hAnsi="Calibri"/>
          <w:sz w:val="22"/>
          <w:szCs w:val="22"/>
        </w:rPr>
        <w:t xml:space="preserve"> An SVM separates two classes with a decision boundary (hyperplane) chosen to maximise the </w:t>
      </w:r>
      <w:r>
        <w:rPr>
          <w:rFonts w:ascii="Calibri" w:cs="Calibri" w:eastAsia="Calibri" w:hAnsi="Calibri"/>
          <w:b/>
          <w:bCs/>
          <w:sz w:val="22"/>
          <w:szCs w:val="22"/>
        </w:rPr>
        <w:t xml:space="preserve">margin</w:t>
      </w:r>
      <w:r>
        <w:rPr>
          <w:rFonts w:ascii="Calibri" w:cs="Calibri" w:eastAsia="Calibri" w:hAnsi="Calibri"/>
          <w:sz w:val="22"/>
          <w:szCs w:val="22"/>
        </w:rPr>
        <w:t xml:space="preserve">, the distance between the hyperplane and the closest data points, which are called </w:t>
      </w:r>
      <w:r>
        <w:rPr>
          <w:rFonts w:ascii="Calibri" w:cs="Calibri" w:eastAsia="Calibri" w:hAnsi="Calibri"/>
          <w:b/>
          <w:bCs/>
          <w:sz w:val="22"/>
          <w:szCs w:val="22"/>
        </w:rPr>
        <w:t xml:space="preserve">support vectors</w:t>
      </w:r>
      <w:r>
        <w:rPr>
          <w:rFonts w:ascii="Calibri" w:cs="Calibri" w:eastAsia="Calibri" w:hAnsi="Calibri"/>
          <w:sz w:val="22"/>
          <w:szCs w:val="22"/>
        </w:rPr>
        <w:t xml:space="preserve"> (Figure 7) [4]. When classes overlap, a soft-margin SVM tolerates some misclassified points, and a kernel trick maps the data into a space where they can be separated linearly; the regularisation parameter C controls the trade-off between a wide margin and training errors, which helps to prevent overfitting on noisy measurements [4]. Unlike ANNs, SVMs do not require the number of layers or neurons to be chosen in advance, and PD classification with SVMs has generally produced better results than other classifiers, including neural networks [4].</w:t>
      </w:r>
    </w:p>
    <w:p>
      <w:pPr>
        <w:spacing w:after="60" w:before="12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619375"/>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7.</w:t>
      </w:r>
      <w:r>
        <w:rPr>
          <w:rFonts w:ascii="Calibri" w:cs="Calibri" w:eastAsia="Calibri" w:hAnsi="Calibri"/>
          <w:i w:val="false"/>
          <w:iCs w:val="false"/>
          <w:sz w:val="20"/>
          <w:szCs w:val="20"/>
        </w:rPr>
        <w:t xml:space="preserve"> Principle of a support vector machine for two PD classes (drawn by the authors from the description in Kumar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[4]).</w:t>
      </w:r>
    </w:p>
    <w:p>
      <w:pPr>
        <w:spacing w:after="140" w:line="276"/>
        <w:jc w:val="both"/>
      </w:pPr>
      <w:r>
        <w:rPr>
          <w:rFonts w:ascii="Calibri" w:cs="Calibri" w:eastAsia="Calibri" w:hAnsi="Calibri"/>
          <w:b/>
          <w:bCs/>
          <w:sz w:val="22"/>
          <w:szCs w:val="22"/>
        </w:rPr>
        <w:t xml:space="preserve">Other classifiers.</w:t>
      </w:r>
      <w:r>
        <w:rPr>
          <w:rFonts w:ascii="Calibri" w:cs="Calibri" w:eastAsia="Calibri" w:hAnsi="Calibri"/>
          <w:sz w:val="22"/>
          <w:szCs w:val="22"/>
        </w:rPr>
        <w:t xml:space="preserve"> Earlier work also used minimum-distance and nearest-neighbour classifiers, Bayes classifiers and fuzzy-logic classifiers [2], and adaptive neuro-fuzzy inference systems (ANFIS) [1]. Random forests, decision trees and logistic regression are further common machine-learning algorithms [4], and random forests have also been used for feature selection [9].</w:t>
      </w:r>
    </w:p>
    <w:p>
      <w:pPr>
        <w:pStyle w:val="Heading3"/>
        <w:spacing w:after="120" w:before="240"/>
      </w:pPr>
      <w:r>
        <w:rPr>
          <w:rFonts w:ascii="Calibri" w:cs="Calibri" w:eastAsia="Calibri" w:hAnsi="Calibri"/>
          <w:b/>
          <w:bCs/>
          <w:color w:val="1F3864"/>
          <w:sz w:val="24"/>
          <w:szCs w:val="24"/>
        </w:rPr>
        <w:t xml:space="preserve">2.5.2.3  Reported performance</w:t>
      </w:r>
    </w:p>
    <w:p>
      <w:pPr>
        <w:spacing w:after="140" w:line="276"/>
        <w:jc w:val="both"/>
      </w:pPr>
      <w:r>
        <w:rPr>
          <w:rFonts w:ascii="Calibri" w:cs="Calibri" w:eastAsia="Calibri" w:hAnsi="Calibri"/>
          <w:sz w:val="22"/>
          <w:szCs w:val="22"/>
        </w:rPr>
        <w:t xml:space="preserve">Table 5 summarises results reported by studies that used traditional classifiers on cable or cable-accessory defects. The values come from different datasets, class definitions and train/test splits, so they show what each method achieved in its own study and cannot be ranked directly against each other.</w:t>
      </w:r>
    </w:p>
    <w:p>
      <w:pPr>
        <w:spacing w:after="80" w:before="200"/>
        <w:jc w:val="center"/>
      </w:pPr>
      <w:r>
        <w:rPr>
          <w:rFonts w:ascii="Calibri" w:cs="Calibri" w:eastAsia="Calibri" w:hAnsi="Calibri"/>
          <w:b/>
          <w:bCs/>
          <w:sz w:val="20"/>
          <w:szCs w:val="20"/>
        </w:rPr>
        <w:t xml:space="preserve">Table 5.</w:t>
      </w:r>
      <w:r>
        <w:rPr>
          <w:rFonts w:ascii="Calibri" w:cs="Calibri" w:eastAsia="Calibri" w:hAnsi="Calibri"/>
          <w:sz w:val="20"/>
          <w:szCs w:val="20"/>
        </w:rPr>
        <w:t xml:space="preserve"> Results of traditional classifiers reported in the reviewed studies.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1700"/>
        <w:gridCol w:w="3226"/>
      </w:tblGrid>
      <w:tr>
        <w:trPr>
          <w:tblHeader/>
        </w:trPr>
        <w:tc>
          <w:tcPr>
            <w:tcW w:type="dxa" w:w="16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Study</w:t>
            </w:r>
          </w:p>
        </w:tc>
        <w:tc>
          <w:tcPr>
            <w:tcW w:type="dxa" w:w="2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 and classes</w:t>
            </w:r>
          </w:p>
        </w:tc>
        <w:tc>
          <w:tcPr>
            <w:tcW w:type="dxa" w:w="17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Features</w:t>
            </w:r>
          </w:p>
        </w:tc>
        <w:tc>
          <w:tcPr>
            <w:tcW w:type="dxa" w:w="32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Classifiers and reported result</w:t>
            </w:r>
          </w:p>
        </w:tc>
      </w:tr>
      <w:tr>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Raymond </w:t>
            </w:r>
            <w:r>
              <w:rPr>
                <w:rFonts w:ascii="Calibri" w:cs="Calibri" w:eastAsia="Calibri" w:hAnsi="Calibri"/>
                <w:i/>
                <w:iCs/>
                <w:sz w:val="18"/>
                <w:szCs w:val="18"/>
              </w:rPr>
              <w:t xml:space="preserve">et al.</w:t>
            </w:r>
            <w:r>
              <w:rPr>
                <w:rFonts w:ascii="Calibri" w:cs="Calibri" w:eastAsia="Calibri" w:hAnsi="Calibri"/>
                <w:sz w:val="18"/>
                <w:szCs w:val="18"/>
              </w:rPr>
              <w:t xml:space="preserve"> 2017 [1]</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artificial defects in 11 kV XLPE cable joints; 100 PRPD measurements per joint</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Statistical, fractal, PCA</w:t>
            </w:r>
          </w:p>
        </w:tc>
        <w:tc>
          <w:tcPr>
            <w:tcW w:type="dxa" w:w="3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Noise-free data, best feature set: SVM 98.8%, ANFIS 97.0%, ANN 93.2%. With 60 s of real noise, PCA features: SVM 75.6%, ANN 70.4%, ANFIS 53.0%</w:t>
            </w:r>
          </w:p>
        </w:tc>
      </w:tr>
      <w:tr>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Qin </w:t>
            </w:r>
            <w:r>
              <w:rPr>
                <w:rFonts w:ascii="Calibri" w:cs="Calibri" w:eastAsia="Calibri" w:hAnsi="Calibri"/>
                <w:i/>
                <w:iCs/>
                <w:sz w:val="18"/>
                <w:szCs w:val="18"/>
              </w:rPr>
              <w:t xml:space="preserve">et al.</w:t>
            </w:r>
            <w:r>
              <w:rPr>
                <w:rFonts w:ascii="Calibri" w:cs="Calibri" w:eastAsia="Calibri" w:hAnsi="Calibri"/>
                <w:sz w:val="18"/>
                <w:szCs w:val="18"/>
              </w:rPr>
              <w:t xml:space="preserve"> 2024 [8]</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 composite defects in 10 kV XLPE cable; 2 400 samples</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entropy features after VMD</w:t>
            </w:r>
          </w:p>
        </w:tc>
        <w:tc>
          <w:tcPr>
            <w:tcW w:type="dxa" w:w="3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Snake-optimised SVM 97.29%, GA-BP 88.78%, SVM 84.52%, BP 84.02%</w:t>
            </w:r>
          </w:p>
        </w:tc>
      </w:tr>
      <w:tr>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Sun </w:t>
            </w:r>
            <w:r>
              <w:rPr>
                <w:rFonts w:ascii="Calibri" w:cs="Calibri" w:eastAsia="Calibri" w:hAnsi="Calibri"/>
                <w:i/>
                <w:iCs/>
                <w:sz w:val="18"/>
                <w:szCs w:val="18"/>
              </w:rPr>
              <w:t xml:space="preserve">et al.</w:t>
            </w:r>
            <w:r>
              <w:rPr>
                <w:rFonts w:ascii="Calibri" w:cs="Calibri" w:eastAsia="Calibri" w:hAnsi="Calibri"/>
                <w:sz w:val="18"/>
                <w:szCs w:val="18"/>
              </w:rPr>
              <w:t xml:space="preserve"> 2024 [7]</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 cable-terminal defect models; 1 600 HFCT pulses</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Raw pulse (251 samples)</w:t>
            </w:r>
          </w:p>
        </w:tc>
        <w:tc>
          <w:tcPr>
            <w:tcW w:type="dxa" w:w="3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BPNN 94.8%, RBFNN 91.2% (CNN 95.8% on the same data)</w:t>
            </w:r>
          </w:p>
        </w:tc>
      </w:tr>
      <w:tr>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Peng </w:t>
            </w:r>
            <w:r>
              <w:rPr>
                <w:rFonts w:ascii="Calibri" w:cs="Calibri" w:eastAsia="Calibri" w:hAnsi="Calibri"/>
                <w:i/>
                <w:iCs/>
                <w:sz w:val="18"/>
                <w:szCs w:val="18"/>
              </w:rPr>
              <w:t xml:space="preserve">et al.</w:t>
            </w:r>
            <w:r>
              <w:rPr>
                <w:rFonts w:ascii="Calibri" w:cs="Calibri" w:eastAsia="Calibri" w:hAnsi="Calibri"/>
                <w:sz w:val="18"/>
                <w:szCs w:val="18"/>
              </w:rPr>
              <w:t xml:space="preserve"> 2019 [9]</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3 500 PD and 3 500 interference pulses from cable defects</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34 pulse features + 2-D/3-D features, RF selection</w:t>
            </w:r>
          </w:p>
        </w:tc>
        <w:tc>
          <w:tcPr>
            <w:tcW w:type="dxa" w:w="3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BPNN and SVM; RF-based selection reported as effective</w:t>
            </w:r>
          </w:p>
        </w:tc>
      </w:tr>
      <w:tr>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Gulski and Krivda 1993 [5]</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12 artificial defect types (e.g. cavities, surface discharge, corona, treeing)</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15 statistical operators</w:t>
            </w:r>
          </w:p>
        </w:tc>
        <w:tc>
          <w:tcPr>
            <w:tcW w:type="dxa" w:w="3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BP, Kohonen and LVQ networks recognised trained defects; untrained patterns misclassified</w:t>
            </w:r>
          </w:p>
        </w:tc>
      </w:tr>
    </w:tbl>
    <w:p>
      <w:pPr>
        <w:spacing w:after="140" w:line="276"/>
        <w:jc w:val="both"/>
      </w:pPr>
      <w:r>
        <w:rPr>
          <w:rFonts w:ascii="Calibri" w:cs="Calibri" w:eastAsia="Calibri" w:hAnsi="Calibri"/>
          <w:sz w:val="22"/>
          <w:szCs w:val="22"/>
        </w:rPr>
        <w:t xml:space="preserve">Figure 8 shows why results on clean laboratory data must be interpreted carefully. In the study by Raymond </w:t>
      </w:r>
      <w:r>
        <w:rPr>
          <w:rFonts w:ascii="Calibri" w:cs="Calibri" w:eastAsia="Calibri" w:hAnsi="Calibri"/>
          <w:i/>
          <w:iCs/>
          <w:sz w:val="22"/>
          <w:szCs w:val="22"/>
        </w:rPr>
        <w:t xml:space="preserve">et al.</w:t>
      </w:r>
      <w:r>
        <w:rPr>
          <w:rFonts w:ascii="Calibri" w:cs="Calibri" w:eastAsia="Calibri" w:hAnsi="Calibri"/>
          <w:sz w:val="22"/>
          <w:szCs w:val="22"/>
        </w:rPr>
        <w:t xml:space="preserve">, classifiers were trained on noise-free data and tested on data with 5–60 s of recorded ground-interference noise added; statistical features gave the best accuracy on clean data, but PCA features were the most robust as the noise increased [1].</w:t>
      </w:r>
    </w:p>
    <w:p>
      <w:pPr>
        <w:spacing w:after="60" w:before="120"/>
        <w:jc w:val="center"/>
      </w:pPr>
      <w:r>
        <w:drawing>
          <wp:inline distT="0" distB="0" distL="0" distR="0">
            <wp:extent cx="57150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295400"/>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8.</w:t>
      </w:r>
      <w:r>
        <w:rPr>
          <w:rFonts w:ascii="Calibri" w:cs="Calibri" w:eastAsia="Calibri" w:hAnsi="Calibri"/>
          <w:i w:val="false"/>
          <w:iCs w:val="false"/>
          <w:sz w:val="20"/>
          <w:szCs w:val="20"/>
        </w:rPr>
        <w:t xml:space="preserve"> Classification accuracy against duration of added noise for (a) ANN, (b) ANFIS and (c) SVM with statistical, fractal and PCA features. Rearranged from Raymond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[1], Fig. 5, under the CC BY 4.0 licence.</w:t>
      </w:r>
    </w:p>
    <w:p>
      <w:pPr>
        <w:pStyle w:val="Heading3"/>
        <w:spacing w:after="120" w:before="240"/>
      </w:pPr>
      <w:r>
        <w:rPr>
          <w:rFonts w:ascii="Calibri" w:cs="Calibri" w:eastAsia="Calibri" w:hAnsi="Calibri"/>
          <w:b/>
          <w:bCs/>
          <w:color w:val="1F3864"/>
          <w:sz w:val="24"/>
          <w:szCs w:val="24"/>
        </w:rPr>
        <w:t xml:space="preserve">2.5.2.4  Strengths, limitations and relevance to this project</w:t>
      </w:r>
    </w:p>
    <w:p>
      <w:pPr>
        <w:pStyle w:val="ListParagraph"/>
        <w:numPr>
          <w:ilvl w:val="0"/>
          <w:numId w:val="2"/>
        </w:numPr>
        <w:spacing w:after="80" w:line="276"/>
        <w:jc w:val="both"/>
      </w:pPr>
      <w:r>
        <w:rPr>
          <w:rFonts w:ascii="Calibri" w:cs="Calibri" w:eastAsia="Calibri" w:hAnsi="Calibri"/>
          <w:b/>
          <w:bCs/>
          <w:sz w:val="22"/>
          <w:szCs w:val="22"/>
        </w:rPr>
        <w:t xml:space="preserve">Strengths.</w:t>
      </w:r>
      <w:r>
        <w:rPr>
          <w:rFonts w:ascii="Calibri" w:cs="Calibri" w:eastAsia="Calibri" w:hAnsi="Calibri"/>
          <w:sz w:val="22"/>
          <w:szCs w:val="22"/>
        </w:rPr>
        <w:t xml:space="preserve"> The features have a physical meaning that engineers can interpret (Table 3), the classifiers can reach high accuracy on clean laboratory data (up to 98.8% in [1] and 97.29% in [8]), and training is fast: in [1] the SVM trained fastest, and its training time was not directly affected by feature size [1]. Traditional classifiers can also be competitive with deep learning on the same data: in [7] the BPNN reached 94.8% against 95.8% for the CNN.</w:t>
      </w:r>
    </w:p>
    <w:p>
      <w:pPr>
        <w:pStyle w:val="ListParagraph"/>
        <w:numPr>
          <w:ilvl w:val="0"/>
          <w:numId w:val="2"/>
        </w:numPr>
        <w:spacing w:after="80" w:line="276"/>
        <w:jc w:val="both"/>
      </w:pPr>
      <w:r>
        <w:rPr>
          <w:rFonts w:ascii="Calibri" w:cs="Calibri" w:eastAsia="Calibri" w:hAnsi="Calibri"/>
          <w:b/>
          <w:bCs/>
          <w:sz w:val="22"/>
          <w:szCs w:val="22"/>
        </w:rPr>
        <w:t xml:space="preserve">Dependence on feature design.</w:t>
      </w:r>
      <w:r>
        <w:rPr>
          <w:rFonts w:ascii="Calibri" w:cs="Calibri" w:eastAsia="Calibri" w:hAnsi="Calibri"/>
          <w:sz w:val="22"/>
          <w:szCs w:val="22"/>
        </w:rPr>
        <w:t xml:space="preserve"> Performance depends on which features are chosen and on expert knowledge to set and verify them [4]. In [1] the feature set that was best on clean data was not the most robust under noise.</w:t>
      </w:r>
    </w:p>
    <w:p>
      <w:pPr>
        <w:pStyle w:val="ListParagraph"/>
        <w:numPr>
          <w:ilvl w:val="0"/>
          <w:numId w:val="2"/>
        </w:numPr>
        <w:spacing w:after="80" w:line="276"/>
        <w:jc w:val="both"/>
      </w:pPr>
      <w:r>
        <w:rPr>
          <w:rFonts w:ascii="Calibri" w:cs="Calibri" w:eastAsia="Calibri" w:hAnsi="Calibri"/>
          <w:b/>
          <w:bCs/>
          <w:sz w:val="22"/>
          <w:szCs w:val="22"/>
        </w:rPr>
        <w:t xml:space="preserve">Sensitivity to noise.</w:t>
      </w:r>
      <w:r>
        <w:rPr>
          <w:rFonts w:ascii="Calibri" w:cs="Calibri" w:eastAsia="Calibri" w:hAnsi="Calibri"/>
          <w:sz w:val="22"/>
          <w:szCs w:val="22"/>
        </w:rPr>
        <w:t xml:space="preserve"> With statistical features, SVM accuracy fell from 91.6% with 5 s of noise to 48.2% with 60 s [1].</w:t>
      </w:r>
    </w:p>
    <w:p>
      <w:pPr>
        <w:pStyle w:val="ListParagraph"/>
        <w:numPr>
          <w:ilvl w:val="0"/>
          <w:numId w:val="2"/>
        </w:numPr>
        <w:spacing w:after="80" w:line="276"/>
        <w:jc w:val="both"/>
      </w:pPr>
      <w:r>
        <w:rPr>
          <w:rFonts w:ascii="Calibri" w:cs="Calibri" w:eastAsia="Calibri" w:hAnsi="Calibri"/>
          <w:b/>
          <w:bCs/>
          <w:sz w:val="22"/>
          <w:szCs w:val="22"/>
        </w:rPr>
        <w:t xml:space="preserve">Sensitivity to tuning.</w:t>
      </w:r>
      <w:r>
        <w:rPr>
          <w:rFonts w:ascii="Calibri" w:cs="Calibri" w:eastAsia="Calibri" w:hAnsi="Calibri"/>
          <w:sz w:val="22"/>
          <w:szCs w:val="22"/>
        </w:rPr>
        <w:t xml:space="preserve"> Optimising the SVM parameters raised the average accuracy from 84.52% to 97.29%, a gain of 12.77 percentage points on the same features [8].</w:t>
      </w:r>
    </w:p>
    <w:p>
      <w:pPr>
        <w:pStyle w:val="ListParagraph"/>
        <w:numPr>
          <w:ilvl w:val="0"/>
          <w:numId w:val="2"/>
        </w:numPr>
        <w:spacing w:after="80" w:line="276"/>
        <w:jc w:val="both"/>
      </w:pPr>
      <w:r>
        <w:rPr>
          <w:rFonts w:ascii="Calibri" w:cs="Calibri" w:eastAsia="Calibri" w:hAnsi="Calibri"/>
          <w:b/>
          <w:bCs/>
          <w:sz w:val="22"/>
          <w:szCs w:val="22"/>
        </w:rPr>
        <w:t xml:space="preserve">Data, training and unknown patterns.</w:t>
      </w:r>
      <w:r>
        <w:rPr>
          <w:rFonts w:ascii="Calibri" w:cs="Calibri" w:eastAsia="Calibri" w:hAnsi="Calibri"/>
          <w:sz w:val="22"/>
          <w:szCs w:val="22"/>
        </w:rPr>
        <w:t xml:space="preserve"> ANNs need sufficient real examples and can overtrain [4], and classifiers trained on known defects may assign untrained patterns to a known class [5].</w:t>
      </w:r>
    </w:p>
    <w:p>
      <w:pPr>
        <w:spacing w:after="140" w:line="276"/>
        <w:jc w:val="both"/>
      </w:pPr>
      <w:r>
        <w:rPr>
          <w:rFonts w:ascii="Calibri" w:cs="Calibri" w:eastAsia="Calibri" w:hAnsi="Calibri"/>
          <w:sz w:val="22"/>
          <w:szCs w:val="22"/>
        </w:rPr>
        <w:t xml:space="preserve">For this project, traditional machine learning will provide the </w:t>
      </w:r>
      <w:r>
        <w:rPr>
          <w:rFonts w:ascii="Calibri" w:cs="Calibri" w:eastAsia="Calibri" w:hAnsi="Calibri"/>
          <w:b/>
          <w:bCs/>
          <w:sz w:val="22"/>
          <w:szCs w:val="22"/>
        </w:rPr>
        <w:t xml:space="preserve">baseline</w:t>
      </w:r>
      <w:r>
        <w:rPr>
          <w:rFonts w:ascii="Calibri" w:cs="Calibri" w:eastAsia="Calibri" w:hAnsi="Calibri"/>
          <w:sz w:val="22"/>
          <w:szCs w:val="22"/>
        </w:rPr>
        <w:t xml:space="preserve"> against which the deep-learning models are judged. An SVM and a random forest will be trained on hand-crafted features (statistical operators from PRPD data and time-, frequency- and wavelet-domain features from HFCT pulses) for the four classes defined in Section 2.5.1, using the same data and the same train/test split as the deep-learning models. The dependence of these methods on manual feature design and their sensitivity to noise motivate the deep-learning approaches reviewed in Section 2.5.3.</w:t>
      </w:r>
    </w:p>
    <w:p>
      <w:pPr>
        <w:pStyle w:val="Heading3"/>
        <w:spacing w:after="120" w:before="240"/>
      </w:pPr>
      <w:r>
        <w:rPr>
          <w:rFonts w:ascii="Calibri" w:cs="Calibri" w:eastAsia="Calibri" w:hAnsi="Calibri"/>
          <w:b/>
          <w:bCs/>
          <w:color w:val="1F3864"/>
          <w:sz w:val="24"/>
          <w:szCs w:val="24"/>
        </w:rPr>
        <w:t xml:space="preserve">References</w:t>
      </w:r>
    </w:p>
    <w:p>
      <w:pPr>
        <w:spacing w:after="100"/>
        <w:ind w:left="500" w:hanging="500"/>
      </w:pPr>
      <w:r>
        <w:rPr>
          <w:rFonts w:ascii="Calibri" w:cs="Calibri" w:eastAsia="Calibri" w:hAnsi="Calibri"/>
          <w:sz w:val="22"/>
          <w:szCs w:val="22"/>
        </w:rPr>
        <w:t xml:space="preserve">[1]	</w:t>
      </w:r>
      <w:r>
        <w:rPr>
          <w:rFonts w:ascii="Calibri" w:cs="Calibri" w:eastAsia="Calibri" w:hAnsi="Calibri"/>
          <w:sz w:val="22"/>
          <w:szCs w:val="22"/>
        </w:rPr>
        <w:t xml:space="preserve">W. J. K. Raymond, H. A. Illias, and A. H. A. Bakar, “Classification of partial discharge measured under different levels of noise contamination,” </w:t>
      </w:r>
      <w:r>
        <w:rPr>
          <w:rFonts w:ascii="Calibri" w:cs="Calibri" w:eastAsia="Calibri" w:hAnsi="Calibri"/>
          <w:i/>
          <w:iCs/>
          <w:sz w:val="22"/>
          <w:szCs w:val="22"/>
        </w:rPr>
        <w:t xml:space="preserve">PLOS ONE</w:t>
      </w:r>
      <w:r>
        <w:rPr>
          <w:rFonts w:ascii="Calibri" w:cs="Calibri" w:eastAsia="Calibri" w:hAnsi="Calibri"/>
          <w:sz w:val="22"/>
          <w:szCs w:val="22"/>
        </w:rPr>
        <w:t xml:space="preserve">, vol. 12, no. 1, e0170111, 2017.</w:t>
      </w:r>
      <w:r>
        <w:rPr>
          <w:rFonts w:ascii="Calibri" w:cs="Calibri" w:eastAsia="Calibri" w:hAnsi="Calibri"/>
          <w:sz w:val="22"/>
          <w:szCs w:val="22"/>
        </w:rPr>
        <w:t xml:space="preserve"> </w:t>
      </w:r>
      <w:hyperlink w:history="1" r:id="rIdsw5awnfddivzzvkuhl7be">
        <w:r>
          <w:rPr>
            <w:rStyle w:val="Hyperlink"/>
            <w:rFonts w:ascii="Calibri" w:cs="Calibri" w:eastAsia="Calibri" w:hAnsi="Calibri"/>
            <w:sz w:val="22"/>
            <w:szCs w:val="22"/>
          </w:rPr>
          <w:t xml:space="preserve">https://doi.org/10.1371/journal.pone.0170111</w:t>
        </w:r>
      </w:hyperlink>
    </w:p>
    <w:p>
      <w:pPr>
        <w:spacing w:after="100"/>
        <w:ind w:left="500" w:hanging="500"/>
      </w:pPr>
      <w:r>
        <w:rPr>
          <w:rFonts w:ascii="Calibri" w:cs="Calibri" w:eastAsia="Calibri" w:hAnsi="Calibri"/>
          <w:sz w:val="22"/>
          <w:szCs w:val="22"/>
        </w:rPr>
        <w:t xml:space="preserve">[2]	</w:t>
      </w:r>
      <w:r>
        <w:rPr>
          <w:rFonts w:ascii="Calibri" w:cs="Calibri" w:eastAsia="Calibri" w:hAnsi="Calibri"/>
          <w:sz w:val="22"/>
          <w:szCs w:val="22"/>
        </w:rPr>
        <w:t xml:space="preserve">N. C. Sahoo, M. M. A. Salama, and R. Bartnikas, “Trends in partial discharge pattern classification: a survey,”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12, no. 2, pp. 248–264, 2005.</w:t>
      </w:r>
      <w:r>
        <w:rPr>
          <w:rFonts w:ascii="Calibri" w:cs="Calibri" w:eastAsia="Calibri" w:hAnsi="Calibri"/>
          <w:sz w:val="22"/>
          <w:szCs w:val="22"/>
        </w:rPr>
        <w:t xml:space="preserve"> </w:t>
      </w:r>
      <w:hyperlink w:history="1" r:id="rIdx2jwiml-j9xtywyrm0pu7">
        <w:r>
          <w:rPr>
            <w:rStyle w:val="Hyperlink"/>
            <w:rFonts w:ascii="Calibri" w:cs="Calibri" w:eastAsia="Calibri" w:hAnsi="Calibri"/>
            <w:sz w:val="22"/>
            <w:szCs w:val="22"/>
          </w:rPr>
          <w:t xml:space="preserve">https://doi.org/10.1109/TDEI.2005.1430395</w:t>
        </w:r>
      </w:hyperlink>
    </w:p>
    <w:p>
      <w:pPr>
        <w:spacing w:after="100"/>
        <w:ind w:left="500" w:hanging="500"/>
      </w:pPr>
      <w:r>
        <w:rPr>
          <w:rFonts w:ascii="Calibri" w:cs="Calibri" w:eastAsia="Calibri" w:hAnsi="Calibri"/>
          <w:sz w:val="22"/>
          <w:szCs w:val="22"/>
        </w:rPr>
        <w:t xml:space="preserve">[3]	</w:t>
      </w:r>
      <w:r>
        <w:rPr>
          <w:rFonts w:ascii="Calibri" w:cs="Calibri" w:eastAsia="Calibri" w:hAnsi="Calibri"/>
          <w:sz w:val="22"/>
          <w:szCs w:val="22"/>
        </w:rPr>
        <w:t xml:space="preserve">A. Krivda, “Automated recognition of partial discharges,”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2, no. 5, pp. 796–821, 1995.</w:t>
      </w:r>
      <w:r>
        <w:rPr>
          <w:rFonts w:ascii="Calibri" w:cs="Calibri" w:eastAsia="Calibri" w:hAnsi="Calibri"/>
          <w:sz w:val="22"/>
          <w:szCs w:val="22"/>
        </w:rPr>
        <w:t xml:space="preserve"> </w:t>
      </w:r>
      <w:hyperlink w:history="1" r:id="rIdw9c-5xxde5ntv6nxw52yq">
        <w:r>
          <w:rPr>
            <w:rStyle w:val="Hyperlink"/>
            <w:rFonts w:ascii="Calibri" w:cs="Calibri" w:eastAsia="Calibri" w:hAnsi="Calibri"/>
            <w:sz w:val="22"/>
            <w:szCs w:val="22"/>
          </w:rPr>
          <w:t xml:space="preserve">https://doi.org/10.1109/94.469976</w:t>
        </w:r>
      </w:hyperlink>
    </w:p>
    <w:p>
      <w:pPr>
        <w:spacing w:after="100"/>
        <w:ind w:left="500" w:hanging="500"/>
      </w:pPr>
      <w:r>
        <w:rPr>
          <w:rFonts w:ascii="Calibri" w:cs="Calibri" w:eastAsia="Calibri" w:hAnsi="Calibri"/>
          <w:sz w:val="22"/>
          <w:szCs w:val="22"/>
        </w:rPr>
        <w:t xml:space="preserve">[4]	</w:t>
      </w:r>
      <w:r>
        <w:rPr>
          <w:rFonts w:ascii="Calibri" w:cs="Calibri" w:eastAsia="Calibri" w:hAnsi="Calibri"/>
          <w:sz w:val="22"/>
          <w:szCs w:val="22"/>
        </w:rPr>
        <w:t xml:space="preserve">H. Kumar, M. Shafiq, K. Kauhaniemi, and M. Elmusrati, “A review on the classification of partial discharges in medium-voltage cables: detection, feature extraction, artificial intelligence-based classification, and optimization techniques,” </w:t>
      </w:r>
      <w:r>
        <w:rPr>
          <w:rFonts w:ascii="Calibri" w:cs="Calibri" w:eastAsia="Calibri" w:hAnsi="Calibri"/>
          <w:i/>
          <w:iCs/>
          <w:sz w:val="22"/>
          <w:szCs w:val="22"/>
        </w:rPr>
        <w:t xml:space="preserve">Energies</w:t>
      </w:r>
      <w:r>
        <w:rPr>
          <w:rFonts w:ascii="Calibri" w:cs="Calibri" w:eastAsia="Calibri" w:hAnsi="Calibri"/>
          <w:sz w:val="22"/>
          <w:szCs w:val="22"/>
        </w:rPr>
        <w:t xml:space="preserve">, vol. 17, no. 5, 1142, 2024.</w:t>
      </w:r>
      <w:r>
        <w:rPr>
          <w:rFonts w:ascii="Calibri" w:cs="Calibri" w:eastAsia="Calibri" w:hAnsi="Calibri"/>
          <w:sz w:val="22"/>
          <w:szCs w:val="22"/>
        </w:rPr>
        <w:t xml:space="preserve"> </w:t>
      </w:r>
      <w:hyperlink w:history="1" r:id="rIdy_t83tbglwwdhrzhlvvp2">
        <w:r>
          <w:rPr>
            <w:rStyle w:val="Hyperlink"/>
            <w:rFonts w:ascii="Calibri" w:cs="Calibri" w:eastAsia="Calibri" w:hAnsi="Calibri"/>
            <w:sz w:val="22"/>
            <w:szCs w:val="22"/>
          </w:rPr>
          <w:t xml:space="preserve">https://doi.org/10.3390/en17051142</w:t>
        </w:r>
      </w:hyperlink>
    </w:p>
    <w:p>
      <w:pPr>
        <w:spacing w:after="100"/>
        <w:ind w:left="500" w:hanging="500"/>
      </w:pPr>
      <w:r>
        <w:rPr>
          <w:rFonts w:ascii="Calibri" w:cs="Calibri" w:eastAsia="Calibri" w:hAnsi="Calibri"/>
          <w:sz w:val="22"/>
          <w:szCs w:val="22"/>
        </w:rPr>
        <w:t xml:space="preserve">[5]	</w:t>
      </w:r>
      <w:r>
        <w:rPr>
          <w:rFonts w:ascii="Calibri" w:cs="Calibri" w:eastAsia="Calibri" w:hAnsi="Calibri"/>
          <w:sz w:val="22"/>
          <w:szCs w:val="22"/>
        </w:rPr>
        <w:t xml:space="preserve">E. Gulski and A. Krivda, “Neural networks as a tool for recognition of partial discharges,” </w:t>
      </w:r>
      <w:r>
        <w:rPr>
          <w:rFonts w:ascii="Calibri" w:cs="Calibri" w:eastAsia="Calibri" w:hAnsi="Calibri"/>
          <w:i/>
          <w:iCs/>
          <w:sz w:val="22"/>
          <w:szCs w:val="22"/>
        </w:rPr>
        <w:t xml:space="preserve">IEEE Trans. Electr. Insul.</w:t>
      </w:r>
      <w:r>
        <w:rPr>
          <w:rFonts w:ascii="Calibri" w:cs="Calibri" w:eastAsia="Calibri" w:hAnsi="Calibri"/>
          <w:sz w:val="22"/>
          <w:szCs w:val="22"/>
        </w:rPr>
        <w:t xml:space="preserve">, vol. 28, no. 6, pp. 984–1001, 1993.</w:t>
      </w:r>
      <w:r>
        <w:rPr>
          <w:rFonts w:ascii="Calibri" w:cs="Calibri" w:eastAsia="Calibri" w:hAnsi="Calibri"/>
          <w:sz w:val="22"/>
          <w:szCs w:val="22"/>
        </w:rPr>
        <w:t xml:space="preserve"> </w:t>
      </w:r>
      <w:hyperlink w:history="1" r:id="rIdxmz5pbwawebfkiq4h9wsx">
        <w:r>
          <w:rPr>
            <w:rStyle w:val="Hyperlink"/>
            <w:rFonts w:ascii="Calibri" w:cs="Calibri" w:eastAsia="Calibri" w:hAnsi="Calibri"/>
            <w:sz w:val="22"/>
            <w:szCs w:val="22"/>
          </w:rPr>
          <w:t xml:space="preserve">https://doi.org/10.1109/14.249372</w:t>
        </w:r>
      </w:hyperlink>
    </w:p>
    <w:p>
      <w:pPr>
        <w:spacing w:after="100"/>
        <w:ind w:left="500" w:hanging="500"/>
      </w:pPr>
      <w:r>
        <w:rPr>
          <w:rFonts w:ascii="Calibri" w:cs="Calibri" w:eastAsia="Calibri" w:hAnsi="Calibri"/>
          <w:sz w:val="22"/>
          <w:szCs w:val="22"/>
        </w:rPr>
        <w:t xml:space="preserve">[7]	</w:t>
      </w:r>
      <w:r>
        <w:rPr>
          <w:rFonts w:ascii="Calibri" w:cs="Calibri" w:eastAsia="Calibri" w:hAnsi="Calibri"/>
          <w:sz w:val="22"/>
          <w:szCs w:val="22"/>
        </w:rPr>
        <w:t xml:space="preserve">C. Sun </w:t>
      </w:r>
      <w:r>
        <w:rPr>
          <w:rFonts w:ascii="Calibri" w:cs="Calibri" w:eastAsia="Calibri" w:hAnsi="Calibri"/>
          <w:i/>
          <w:iCs/>
          <w:sz w:val="22"/>
          <w:szCs w:val="22"/>
        </w:rPr>
        <w:t xml:space="preserve">et al.</w:t>
      </w:r>
      <w:r>
        <w:rPr>
          <w:rFonts w:ascii="Calibri" w:cs="Calibri" w:eastAsia="Calibri" w:hAnsi="Calibri"/>
          <w:sz w:val="22"/>
          <w:szCs w:val="22"/>
        </w:rPr>
        <w:t xml:space="preserve">, “Convolutional neural network-based pattern recognition of partial discharge in high-speed electric-multiple-unit cable termination,” </w:t>
      </w:r>
      <w:r>
        <w:rPr>
          <w:rFonts w:ascii="Calibri" w:cs="Calibri" w:eastAsia="Calibri" w:hAnsi="Calibri"/>
          <w:i/>
          <w:iCs/>
          <w:sz w:val="22"/>
          <w:szCs w:val="22"/>
        </w:rPr>
        <w:t xml:space="preserve">Sensors</w:t>
      </w:r>
      <w:r>
        <w:rPr>
          <w:rFonts w:ascii="Calibri" w:cs="Calibri" w:eastAsia="Calibri" w:hAnsi="Calibri"/>
          <w:sz w:val="22"/>
          <w:szCs w:val="22"/>
        </w:rPr>
        <w:t xml:space="preserve">, vol. 24, no. 8, 2660, 2024.</w:t>
      </w:r>
      <w:r>
        <w:rPr>
          <w:rFonts w:ascii="Calibri" w:cs="Calibri" w:eastAsia="Calibri" w:hAnsi="Calibri"/>
          <w:sz w:val="22"/>
          <w:szCs w:val="22"/>
        </w:rPr>
        <w:t xml:space="preserve"> </w:t>
      </w:r>
      <w:hyperlink w:history="1" r:id="rIdujtegoe714yunhkwtfwb4">
        <w:r>
          <w:rPr>
            <w:rStyle w:val="Hyperlink"/>
            <w:rFonts w:ascii="Calibri" w:cs="Calibri" w:eastAsia="Calibri" w:hAnsi="Calibri"/>
            <w:sz w:val="22"/>
            <w:szCs w:val="22"/>
          </w:rPr>
          <w:t xml:space="preserve">https://doi.org/10.3390/s24082660</w:t>
        </w:r>
      </w:hyperlink>
    </w:p>
    <w:p>
      <w:pPr>
        <w:spacing w:after="100"/>
        <w:ind w:left="500" w:hanging="500"/>
      </w:pPr>
      <w:r>
        <w:rPr>
          <w:rFonts w:ascii="Calibri" w:cs="Calibri" w:eastAsia="Calibri" w:hAnsi="Calibri"/>
          <w:sz w:val="22"/>
          <w:szCs w:val="22"/>
        </w:rPr>
        <w:t xml:space="preserve">[8]	</w:t>
      </w:r>
      <w:r>
        <w:rPr>
          <w:rFonts w:ascii="Calibri" w:cs="Calibri" w:eastAsia="Calibri" w:hAnsi="Calibri"/>
          <w:sz w:val="22"/>
          <w:szCs w:val="22"/>
        </w:rPr>
        <w:t xml:space="preserve">C. Qin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signal pattern recognition of composite insulation defects in cross-linked polyethylene cables,” </w:t>
      </w:r>
      <w:r>
        <w:rPr>
          <w:rFonts w:ascii="Calibri" w:cs="Calibri" w:eastAsia="Calibri" w:hAnsi="Calibri"/>
          <w:i/>
          <w:iCs/>
          <w:sz w:val="22"/>
          <w:szCs w:val="22"/>
        </w:rPr>
        <w:t xml:space="preserve">Sensors</w:t>
      </w:r>
      <w:r>
        <w:rPr>
          <w:rFonts w:ascii="Calibri" w:cs="Calibri" w:eastAsia="Calibri" w:hAnsi="Calibri"/>
          <w:sz w:val="22"/>
          <w:szCs w:val="22"/>
        </w:rPr>
        <w:t xml:space="preserve">, vol. 24, no. 11, 3460, 2024.</w:t>
      </w:r>
      <w:r>
        <w:rPr>
          <w:rFonts w:ascii="Calibri" w:cs="Calibri" w:eastAsia="Calibri" w:hAnsi="Calibri"/>
          <w:sz w:val="22"/>
          <w:szCs w:val="22"/>
        </w:rPr>
        <w:t xml:space="preserve"> </w:t>
      </w:r>
      <w:hyperlink w:history="1" r:id="rIdezhlnjlxlkyaegb3f30sx">
        <w:r>
          <w:rPr>
            <w:rStyle w:val="Hyperlink"/>
            <w:rFonts w:ascii="Calibri" w:cs="Calibri" w:eastAsia="Calibri" w:hAnsi="Calibri"/>
            <w:sz w:val="22"/>
            <w:szCs w:val="22"/>
          </w:rPr>
          <w:t xml:space="preserve">https://doi.org/10.3390/s24113460</w:t>
        </w:r>
      </w:hyperlink>
    </w:p>
    <w:p>
      <w:pPr>
        <w:spacing w:after="100"/>
        <w:ind w:left="500" w:hanging="500"/>
      </w:pPr>
      <w:r>
        <w:rPr>
          <w:rFonts w:ascii="Calibri" w:cs="Calibri" w:eastAsia="Calibri" w:hAnsi="Calibri"/>
          <w:sz w:val="22"/>
          <w:szCs w:val="22"/>
        </w:rPr>
        <w:t xml:space="preserve">[9]	</w:t>
      </w:r>
      <w:r>
        <w:rPr>
          <w:rFonts w:ascii="Calibri" w:cs="Calibri" w:eastAsia="Calibri" w:hAnsi="Calibri"/>
          <w:sz w:val="22"/>
          <w:szCs w:val="22"/>
        </w:rPr>
        <w:t xml:space="preserve">X. Peng </w:t>
      </w:r>
      <w:r>
        <w:rPr>
          <w:rFonts w:ascii="Calibri" w:cs="Calibri" w:eastAsia="Calibri" w:hAnsi="Calibri"/>
          <w:i/>
          <w:iCs/>
          <w:sz w:val="22"/>
          <w:szCs w:val="22"/>
        </w:rPr>
        <w:t xml:space="preserve">et al.</w:t>
      </w:r>
      <w:r>
        <w:rPr>
          <w:rFonts w:ascii="Calibri" w:cs="Calibri" w:eastAsia="Calibri" w:hAnsi="Calibri"/>
          <w:sz w:val="22"/>
          <w:szCs w:val="22"/>
        </w:rPr>
        <w:t xml:space="preserve">, “Random forest based optimal feature selection for partial discharge pattern recognition in HV cables,” </w:t>
      </w:r>
      <w:r>
        <w:rPr>
          <w:rFonts w:ascii="Calibri" w:cs="Calibri" w:eastAsia="Calibri" w:hAnsi="Calibri"/>
          <w:i/>
          <w:iCs/>
          <w:sz w:val="22"/>
          <w:szCs w:val="22"/>
        </w:rPr>
        <w:t xml:space="preserve">IEEE Trans. Power Del.</w:t>
      </w:r>
      <w:r>
        <w:rPr>
          <w:rFonts w:ascii="Calibri" w:cs="Calibri" w:eastAsia="Calibri" w:hAnsi="Calibri"/>
          <w:sz w:val="22"/>
          <w:szCs w:val="22"/>
        </w:rPr>
        <w:t xml:space="preserve">, vol. 34, no. 4, pp. 1715–1724, 2019.</w:t>
      </w:r>
      <w:r>
        <w:rPr>
          <w:rFonts w:ascii="Calibri" w:cs="Calibri" w:eastAsia="Calibri" w:hAnsi="Calibri"/>
          <w:sz w:val="22"/>
          <w:szCs w:val="22"/>
        </w:rPr>
        <w:t xml:space="preserve"> </w:t>
      </w:r>
      <w:hyperlink w:history="1" r:id="rIdf0w38dklzjw2w6usw9yo_">
        <w:r>
          <w:rPr>
            <w:rStyle w:val="Hyperlink"/>
            <w:rFonts w:ascii="Calibri" w:cs="Calibri" w:eastAsia="Calibri" w:hAnsi="Calibri"/>
            <w:sz w:val="22"/>
            <w:szCs w:val="22"/>
          </w:rPr>
          <w:t xml:space="preserve">https://doi.org/10.1109/TPWRD.2019.2918316</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w5awnfddivzzvkuhl7be" Type="http://schemas.openxmlformats.org/officeDocument/2006/relationships/hyperlink" Target="https://doi.org/10.1371/journal.pone.0170111" TargetMode="External"/><Relationship Id="rIdx2jwiml-j9xtywyrm0pu7" Type="http://schemas.openxmlformats.org/officeDocument/2006/relationships/hyperlink" Target="https://doi.org/10.1109/TDEI.2005.1430395" TargetMode="External"/><Relationship Id="rIdw9c-5xxde5ntv6nxw52yq" Type="http://schemas.openxmlformats.org/officeDocument/2006/relationships/hyperlink" Target="https://doi.org/10.1109/94.469976" TargetMode="External"/><Relationship Id="rIdy_t83tbglwwdhrzhlvvp2" Type="http://schemas.openxmlformats.org/officeDocument/2006/relationships/hyperlink" Target="https://doi.org/10.3390/en17051142" TargetMode="External"/><Relationship Id="rIdxmz5pbwawebfkiq4h9wsx" Type="http://schemas.openxmlformats.org/officeDocument/2006/relationships/hyperlink" Target="https://doi.org/10.1109/14.249372" TargetMode="External"/><Relationship Id="rIdujtegoe714yunhkwtfwb4" Type="http://schemas.openxmlformats.org/officeDocument/2006/relationships/hyperlink" Target="https://doi.org/10.3390/s24082660" TargetMode="External"/><Relationship Id="rIdezhlnjlxlkyaegb3f30sx" Type="http://schemas.openxmlformats.org/officeDocument/2006/relationships/hyperlink" Target="https://doi.org/10.3390/s24113460" TargetMode="External"/><Relationship Id="rIdf0w38dklzjw2w6usw9yo_" Type="http://schemas.openxmlformats.org/officeDocument/2006/relationships/hyperlink" Target="https://doi.org/10.1109/TPWRD.2019.2918316" TargetMode="External"/><Relationship Id="rId8" Type="http://schemas.openxmlformats.org/officeDocument/2006/relationships/image" Target="media/1f01e0f08ac4e4dc93ecf3f1a18479c67d3d2d09.png"/><Relationship Id="rId9" Type="http://schemas.openxmlformats.org/officeDocument/2006/relationships/image" Target="media/a6738b88118c3c744d4216cf0e1b1eb71900e80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2026-10-03T20:18:29.017Z</dcterms:created>
  <dcterms:modified xsi:type="dcterms:W3CDTF">2026-10-03T20:18:29.018Z</dcterms:modified>
</cp:coreProperties>
</file>

<file path=docProps/custom.xml><?xml version="1.0" encoding="utf-8"?>
<Properties xmlns="http://schemas.openxmlformats.org/officeDocument/2006/custom-properties" xmlns:vt="http://schemas.openxmlformats.org/officeDocument/2006/docPropsVTypes"/>
</file>