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240"/>
      </w:pPr>
      <w:r>
        <w:rPr>
          <w:rFonts w:ascii="Calibri" w:cs="Calibri" w:eastAsia="Calibri" w:hAnsi="Calibri"/>
          <w:b/>
          <w:bCs/>
          <w:color w:val="1F3864"/>
          <w:sz w:val="28"/>
          <w:szCs w:val="28"/>
        </w:rPr>
        <w:t xml:space="preserve">3.2.4  Comparison of Candidate Classification Methods</w:t>
      </w:r>
    </w:p>
    <w:p>
      <w:pPr>
        <w:spacing w:after="140" w:line="276"/>
        <w:jc w:val="both"/>
      </w:pPr>
      <w:r>
        <w:rPr>
          <w:rFonts w:ascii="Calibri" w:cs="Calibri" w:eastAsia="Calibri" w:hAnsi="Calibri"/>
          <w:sz w:val="22"/>
          <w:szCs w:val="22"/>
        </w:rPr>
        <w:t xml:space="preserve">Sections 3.2.2 and 3.2.3 reviewed traditional and deep-learning classifiers. This section compares them as candidates for the project. At this mid-semester stage the comparison is preliminary. The final choice of input representation and model will be made at the end of this semester, after a deeper review of the literature; the selected approach will then be implemented and tested experimentally next semester.</w:t>
      </w:r>
    </w:p>
    <w:p>
      <w:pPr>
        <w:spacing w:after="140" w:line="276"/>
        <w:jc w:val="both"/>
      </w:pPr>
      <w:r>
        <w:rPr>
          <w:rFonts w:ascii="Calibri" w:cs="Calibri" w:eastAsia="Calibri" w:hAnsi="Calibri"/>
          <w:b/>
          <w:bCs/>
          <w:sz w:val="22"/>
          <w:szCs w:val="22"/>
        </w:rPr>
        <w:t xml:space="preserve">Within-study comparisons.</w:t>
      </w:r>
      <w:r>
        <w:rPr>
          <w:rFonts w:ascii="Calibri" w:cs="Calibri" w:eastAsia="Calibri" w:hAnsi="Calibri"/>
          <w:sz w:val="22"/>
          <w:szCs w:val="22"/>
        </w:rPr>
        <w:t xml:space="preserve"> Results from different papers cannot be ranked directly, because the equipment, classes and data splits differ. The most useful evidence therefore comes from studies that tested several methods on the same data (Table 5). In every such study the deep-learning model was the most accurate, but the margin over the best traditional model ranged from 1.0 to 4.76 percentage points [6], [10]. Two further results temper this: a carefully tuned SVM reached 97.29% against 84.52% for an untuned SVM on the same features [7], and an SVM reached 98.8% on clean PRPD features of XLPE cable-joint defects [8]. Model tuning and feature choice can therefore matter as much as the choice between traditional and deep learning.</w:t>
      </w:r>
    </w:p>
    <w:p>
      <w:pPr>
        <w:spacing w:after="80" w:before="200"/>
        <w:jc w:val="center"/>
      </w:pPr>
      <w:r>
        <w:rPr>
          <w:rFonts w:ascii="Calibri" w:cs="Calibri" w:eastAsia="Calibri" w:hAnsi="Calibri"/>
          <w:b/>
          <w:bCs/>
          <w:sz w:val="20"/>
          <w:szCs w:val="20"/>
        </w:rPr>
        <w:t xml:space="preserve">Table 5.</w:t>
      </w:r>
      <w:r>
        <w:rPr>
          <w:rFonts w:ascii="Calibri" w:cs="Calibri" w:eastAsia="Calibri" w:hAnsi="Calibri"/>
          <w:sz w:val="20"/>
          <w:szCs w:val="20"/>
        </w:rPr>
        <w:t xml:space="preserve"> Methods compared on the same data within individual studies (best traditional model versus deep-learning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600"/>
        <w:gridCol w:w="1700"/>
        <w:gridCol w:w="2026"/>
      </w:tblGrid>
      <w:tr>
        <w:trPr>
          <w:tblHeader/>
        </w:trPr>
        <w:tc>
          <w:tcPr>
            <w:tcW w:type="dxa" w:w="15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Study</w:t>
            </w:r>
          </w:p>
        </w:tc>
        <w:tc>
          <w:tcPr>
            <w:tcW w:type="dxa" w:w="22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Data</w:t>
            </w:r>
          </w:p>
        </w:tc>
        <w:tc>
          <w:tcPr>
            <w:tcW w:type="dxa" w:w="16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Best traditional model</w:t>
            </w:r>
          </w:p>
        </w:tc>
        <w:tc>
          <w:tcPr>
            <w:tcW w:type="dxa" w:w="17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Deep-learning model</w:t>
            </w:r>
          </w:p>
        </w:tc>
        <w:tc>
          <w:tcPr>
            <w:tcW w:type="dxa" w:w="2026"/>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Difference</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Peng </w:t>
            </w:r>
            <w:r>
              <w:rPr>
                <w:rFonts w:ascii="Calibri" w:cs="Calibri" w:eastAsia="Calibri" w:hAnsi="Calibri"/>
                <w:i/>
                <w:iCs/>
                <w:sz w:val="18"/>
                <w:szCs w:val="18"/>
              </w:rPr>
              <w:t xml:space="preserve">et al.</w:t>
            </w:r>
            <w:r>
              <w:rPr>
                <w:rFonts w:ascii="Calibri" w:cs="Calibri" w:eastAsia="Calibri" w:hAnsi="Calibri"/>
                <w:sz w:val="18"/>
                <w:szCs w:val="18"/>
              </w:rPr>
              <w:t xml:space="preserve"> [10]</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EPR cable, 5 defects, 3 500 pulses</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SVM 87.81%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1D CNN 92.57%</w:t>
            </w:r>
          </w:p>
        </w:tc>
        <w:tc>
          <w:tcPr>
            <w:tcW w:type="dxa" w:w="20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+4.76 points; CNN training 384 s vs 6.3 s for BPNN</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Nguyen </w:t>
            </w:r>
            <w:r>
              <w:rPr>
                <w:rFonts w:ascii="Calibri" w:cs="Calibri" w:eastAsia="Calibri" w:hAnsi="Calibri"/>
                <w:i/>
                <w:iCs/>
                <w:sz w:val="18"/>
                <w:szCs w:val="18"/>
              </w:rPr>
              <w:t xml:space="preserve">et al.</w:t>
            </w:r>
            <w:r>
              <w:rPr>
                <w:rFonts w:ascii="Calibri" w:cs="Calibri" w:eastAsia="Calibri" w:hAnsi="Calibri"/>
                <w:sz w:val="18"/>
                <w:szCs w:val="18"/>
              </w:rPr>
              <w:t xml:space="preserve"> [11]</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GIS (UHF), 4 defects + noise</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ANN 93.01%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LSTM 96.74%</w:t>
            </w:r>
          </w:p>
        </w:tc>
        <w:tc>
          <w:tcPr>
            <w:tcW w:type="dxa" w:w="20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+3.73 points; LSTM slower to train and test</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Sun </w:t>
            </w:r>
            <w:r>
              <w:rPr>
                <w:rFonts w:ascii="Calibri" w:cs="Calibri" w:eastAsia="Calibri" w:hAnsi="Calibri"/>
                <w:i/>
                <w:iCs/>
                <w:sz w:val="18"/>
                <w:szCs w:val="18"/>
              </w:rPr>
              <w:t xml:space="preserve">et al.</w:t>
            </w:r>
            <w:r>
              <w:rPr>
                <w:rFonts w:ascii="Calibri" w:cs="Calibri" w:eastAsia="Calibri" w:hAnsi="Calibri"/>
                <w:sz w:val="18"/>
                <w:szCs w:val="18"/>
              </w:rPr>
              <w:t xml:space="preserve"> [6]</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Cable-terminal models, 4 defects, 1 600 pulses</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BPNN 94.8%</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1D CNN 95.8%</w:t>
            </w:r>
          </w:p>
        </w:tc>
        <w:tc>
          <w:tcPr>
            <w:tcW w:type="dxa" w:w="20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+1.0 point; CNN longer runtime</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Uckol </w:t>
            </w:r>
            <w:r>
              <w:rPr>
                <w:rFonts w:ascii="Calibri" w:cs="Calibri" w:eastAsia="Calibri" w:hAnsi="Calibri"/>
                <w:i/>
                <w:iCs/>
                <w:sz w:val="18"/>
                <w:szCs w:val="18"/>
              </w:rPr>
              <w:t xml:space="preserve">et al.</w:t>
            </w:r>
            <w:r>
              <w:rPr>
                <w:rFonts w:ascii="Calibri" w:cs="Calibri" w:eastAsia="Calibri" w:hAnsi="Calibri"/>
                <w:sz w:val="18"/>
                <w:szCs w:val="18"/>
              </w:rPr>
              <w:t xml:space="preserve"> [5]</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36 kV XLPE terminations, 5 defects</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 (pretrained CNNs compared)</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Purpose-built 2D CNN 96.77%</w:t>
            </w:r>
          </w:p>
        </w:tc>
        <w:tc>
          <w:tcPr>
            <w:tcW w:type="dxa" w:w="20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AlexNet 95.90%; CNN 485 s vs 9 349 s for VGG-16</w:t>
            </w:r>
          </w:p>
        </w:tc>
      </w:tr>
    </w:tbl>
    <w:p>
      <w:pPr>
        <w:spacing w:after="140" w:line="276"/>
        <w:jc w:val="both"/>
      </w:pPr>
      <w:r>
        <w:rPr>
          <w:rFonts w:ascii="Calibri" w:cs="Calibri" w:eastAsia="Calibri" w:hAnsi="Calibri"/>
          <w:b/>
          <w:bCs/>
          <w:sz w:val="22"/>
          <w:szCs w:val="22"/>
        </w:rPr>
        <w:t xml:space="preserve">Qualitative comparison.</w:t>
      </w:r>
      <w:r>
        <w:rPr>
          <w:rFonts w:ascii="Calibri" w:cs="Calibri" w:eastAsia="Calibri" w:hAnsi="Calibri"/>
          <w:sz w:val="22"/>
          <w:szCs w:val="22"/>
        </w:rPr>
        <w:t xml:space="preserve"> Table 6 compares the candidate approaches against the criteria agreed with the supervisors: compatibility with the available data, expected accuracy, preprocessing effort, computational cost, robustness and suitability for continuous monitoring. Traditional classifiers such as the SVM handle high-dimensional features and are less prone to overfitting with limited data, but kernel selection is difficult and computation grows with large datasets; deep learning extracts features automatically but needs large amounts of labelled data and is computationally intensive to train [4].</w:t>
      </w:r>
    </w:p>
    <w:p>
      <w:pPr>
        <w:spacing w:after="80" w:before="200"/>
        <w:jc w:val="center"/>
      </w:pPr>
      <w:r>
        <w:rPr>
          <w:rFonts w:ascii="Calibri" w:cs="Calibri" w:eastAsia="Calibri" w:hAnsi="Calibri"/>
          <w:b/>
          <w:bCs/>
          <w:sz w:val="20"/>
          <w:szCs w:val="20"/>
        </w:rPr>
        <w:t xml:space="preserve">Table 6.</w:t>
      </w:r>
      <w:r>
        <w:rPr>
          <w:rFonts w:ascii="Calibri" w:cs="Calibri" w:eastAsia="Calibri" w:hAnsi="Calibri"/>
          <w:sz w:val="20"/>
          <w:szCs w:val="20"/>
        </w:rPr>
        <w:t xml:space="preserve"> Qualitative comparison of candidate approaches for this project (based on [4] and the studies in Table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000"/>
        <w:gridCol w:w="1500"/>
        <w:gridCol w:w="1900"/>
        <w:gridCol w:w="1826"/>
      </w:tblGrid>
      <w:tr>
        <w:trPr>
          <w:tblHeader/>
        </w:trPr>
        <w:tc>
          <w:tcPr>
            <w:tcW w:type="dxa" w:w="15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Approach</w:t>
            </w:r>
          </w:p>
        </w:tc>
        <w:tc>
          <w:tcPr>
            <w:tcW w:type="dxa" w:w="13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Input needed</w:t>
            </w:r>
          </w:p>
        </w:tc>
        <w:tc>
          <w:tcPr>
            <w:tcW w:type="dxa" w:w="10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Feature design</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Data and computation</w:t>
            </w:r>
          </w:p>
        </w:tc>
        <w:tc>
          <w:tcPr>
            <w:tcW w:type="dxa" w:w="19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Main strength</w:t>
            </w:r>
          </w:p>
        </w:tc>
        <w:tc>
          <w:tcPr>
            <w:tcW w:type="dxa" w:w="1826"/>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Main open question for this project</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SVM / random forest on hand-crafted features</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PRPD statistics or pulse features</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Manual</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Moderate data; fast training</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Interpretable; strong on clean data [8], [7]</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Robustness to real noise [8]</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1D CNN on raw pulses</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Time-domain HFCT pulses</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Automatic</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More labelled data; longer training</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No feature engineering; suits waveform acquisition [6]</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Sensitivity to sampling, alignment and gain</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2D CNN on PRPD patterns</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PRPD (needs phase reference)</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Automatic</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More data; image preparation</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Learns PRPD shape; proven on XLPE terminations [5]</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Availability of a phase reference; accumulation time</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LSTM on PRPD cycle sequences</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Ordered sequence of cycles</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Automatic</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Slow training and testing [11]</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Uses cycle-to-cycle information [11]</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Whether cycle order adds information</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Pretrained CNN / Transformer</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PRPD images</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Automatic</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High computation (e.g. VGG16 15.49 GFLOPs) [12]</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Comparable accuracy at lower cost for Swin [12]</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Benefit on a small dataset</w:t>
            </w:r>
          </w:p>
        </w:tc>
      </w:tr>
    </w:tbl>
    <w:p>
      <w:pPr>
        <w:spacing w:after="140" w:line="276"/>
        <w:jc w:val="both"/>
      </w:pPr>
      <w:r>
        <w:rPr>
          <w:rFonts w:ascii="Calibri" w:cs="Calibri" w:eastAsia="Calibri" w:hAnsi="Calibri"/>
          <w:b/>
          <w:bCs/>
          <w:sz w:val="22"/>
          <w:szCs w:val="22"/>
        </w:rPr>
        <w:t xml:space="preserve">Provisional shortlist.</w:t>
      </w:r>
      <w:r>
        <w:rPr>
          <w:rFonts w:ascii="Calibri" w:cs="Calibri" w:eastAsia="Calibri" w:hAnsi="Calibri"/>
          <w:sz w:val="22"/>
          <w:szCs w:val="22"/>
        </w:rPr>
        <w:t xml:space="preserve"> Based on this review, the approaches that remain under consideration are: an SVM and a random forest on hand-crafted features as baselines, a compact 1D CNN on raw HFCT pulses, and a compact 2D CNN on PRPD patterns if a phase reference is available. An LSTM and a pretrained or Transformer model remain optional extensions. This shortlist will be narrowed during the rest of the semester as the review is deepened and the measurement setup and the classes that can be produced in the laboratory are confirmed, and the final selection will be made at the end of the semester.</w:t>
      </w:r>
    </w:p>
    <w:p>
      <w:pPr>
        <w:pStyle w:val="Heading2"/>
        <w:spacing w:after="120" w:before="240"/>
      </w:pPr>
      <w:r>
        <w:rPr>
          <w:rFonts w:ascii="Calibri" w:cs="Calibri" w:eastAsia="Calibri" w:hAnsi="Calibri"/>
          <w:b/>
          <w:bCs/>
          <w:color w:val="1F3864"/>
          <w:sz w:val="28"/>
          <w:szCs w:val="28"/>
        </w:rPr>
        <w:t xml:space="preserve">3.2.5  Performance, Robustness and Generalisation</w:t>
      </w:r>
    </w:p>
    <w:p>
      <w:pPr>
        <w:spacing w:after="140" w:line="276"/>
        <w:jc w:val="both"/>
      </w:pPr>
      <w:r>
        <w:rPr>
          <w:rFonts w:ascii="Calibri" w:cs="Calibri" w:eastAsia="Calibri" w:hAnsi="Calibri"/>
          <w:sz w:val="22"/>
          <w:szCs w:val="22"/>
        </w:rPr>
        <w:t xml:space="preserve">High accuracy reported on clean laboratory data does not guarantee that a classifier will work on new specimens or under real noise. This section reviews how performance is measured and what the literature shows about robustness and generalisation.</w:t>
      </w:r>
    </w:p>
    <w:p>
      <w:pPr>
        <w:pStyle w:val="Heading3"/>
        <w:spacing w:after="120" w:before="240"/>
      </w:pPr>
      <w:r>
        <w:rPr>
          <w:rFonts w:ascii="Calibri" w:cs="Calibri" w:eastAsia="Calibri" w:hAnsi="Calibri"/>
          <w:b/>
          <w:bCs/>
          <w:color w:val="1F3864"/>
          <w:sz w:val="24"/>
          <w:szCs w:val="24"/>
        </w:rPr>
        <w:t xml:space="preserve">3.2.5.1  Performance metrics</w:t>
      </w:r>
    </w:p>
    <w:p>
      <w:pPr>
        <w:spacing w:after="140" w:line="276"/>
        <w:jc w:val="both"/>
      </w:pPr>
      <w:r>
        <w:rPr>
          <w:rFonts w:ascii="Calibri" w:cs="Calibri" w:eastAsia="Calibri" w:hAnsi="Calibri"/>
          <w:sz w:val="22"/>
          <w:szCs w:val="22"/>
        </w:rPr>
        <w:t xml:space="preserve">Overall accuracy can hide weak classes. Peng </w:t>
      </w:r>
      <w:r>
        <w:rPr>
          <w:rFonts w:ascii="Calibri" w:cs="Calibri" w:eastAsia="Calibri" w:hAnsi="Calibri"/>
          <w:i/>
          <w:iCs/>
          <w:sz w:val="22"/>
          <w:szCs w:val="22"/>
        </w:rPr>
        <w:t xml:space="preserve">et al.</w:t>
      </w:r>
      <w:r>
        <w:rPr>
          <w:rFonts w:ascii="Calibri" w:cs="Calibri" w:eastAsia="Calibri" w:hAnsi="Calibri"/>
          <w:sz w:val="22"/>
          <w:szCs w:val="22"/>
        </w:rPr>
        <w:t xml:space="preserve"> reported 92.57% overall but only 80.87% and 85.42% for the two most similar defects [10], and the LSTM of Nguyen </w:t>
      </w:r>
      <w:r>
        <w:rPr>
          <w:rFonts w:ascii="Calibri" w:cs="Calibri" w:eastAsia="Calibri" w:hAnsi="Calibri"/>
          <w:i/>
          <w:iCs/>
          <w:sz w:val="22"/>
          <w:szCs w:val="22"/>
        </w:rPr>
        <w:t xml:space="preserve">et al.</w:t>
      </w:r>
      <w:r>
        <w:rPr>
          <w:rFonts w:ascii="Calibri" w:cs="Calibri" w:eastAsia="Calibri" w:hAnsi="Calibri"/>
          <w:sz w:val="22"/>
          <w:szCs w:val="22"/>
        </w:rPr>
        <w:t xml:space="preserve"> reached 96.74% overall but 79.54% for floating discharge; the SVM baselines in the same study recognised only 45.53–51.94% of noise samples [11]. Sun </w:t>
      </w:r>
      <w:r>
        <w:rPr>
          <w:rFonts w:ascii="Calibri" w:cs="Calibri" w:eastAsia="Calibri" w:hAnsi="Calibri"/>
          <w:i/>
          <w:iCs/>
          <w:sz w:val="22"/>
          <w:szCs w:val="22"/>
        </w:rPr>
        <w:t xml:space="preserve">et al.</w:t>
      </w:r>
      <w:r>
        <w:rPr>
          <w:rFonts w:ascii="Calibri" w:cs="Calibri" w:eastAsia="Calibri" w:hAnsi="Calibri"/>
          <w:sz w:val="22"/>
          <w:szCs w:val="22"/>
        </w:rPr>
        <w:t xml:space="preserve"> therefore reported precision, recall and F1-score for each class in addition to accuracy, derived from the confusion matrix [6], and Uckol </w:t>
      </w:r>
      <w:r>
        <w:rPr>
          <w:rFonts w:ascii="Calibri" w:cs="Calibri" w:eastAsia="Calibri" w:hAnsi="Calibri"/>
          <w:i/>
          <w:iCs/>
          <w:sz w:val="22"/>
          <w:szCs w:val="22"/>
        </w:rPr>
        <w:t xml:space="preserve">et al.</w:t>
      </w:r>
      <w:r>
        <w:rPr>
          <w:rFonts w:ascii="Calibri" w:cs="Calibri" w:eastAsia="Calibri" w:hAnsi="Calibri"/>
          <w:sz w:val="22"/>
          <w:szCs w:val="22"/>
        </w:rPr>
        <w:t xml:space="preserve"> reported confusion matrices for each case study [5]. In this project, accuracy, per-class precision, recall and F1-score, the macro-averaged F1-score and the confusion matrix will be reported. Per-class results are particularly important for the noise / no-PD class, whose misclassification would cause false alarms.</w:t>
      </w:r>
    </w:p>
    <w:p>
      <w:pPr>
        <w:pStyle w:val="Heading3"/>
        <w:spacing w:after="120" w:before="240"/>
      </w:pPr>
      <w:r>
        <w:rPr>
          <w:rFonts w:ascii="Calibri" w:cs="Calibri" w:eastAsia="Calibri" w:hAnsi="Calibri"/>
          <w:b/>
          <w:bCs/>
          <w:color w:val="1F3864"/>
          <w:sz w:val="24"/>
          <w:szCs w:val="24"/>
        </w:rPr>
        <w:t xml:space="preserve">3.2.5.2  Robustness to noise</w:t>
      </w:r>
    </w:p>
    <w:p>
      <w:pPr>
        <w:spacing w:after="140" w:line="276"/>
        <w:jc w:val="both"/>
      </w:pPr>
      <w:r>
        <w:rPr>
          <w:rFonts w:ascii="Calibri" w:cs="Calibri" w:eastAsia="Calibri" w:hAnsi="Calibri"/>
          <w:sz w:val="22"/>
          <w:szCs w:val="22"/>
        </w:rPr>
        <w:t xml:space="preserve">Raymond </w:t>
      </w:r>
      <w:r>
        <w:rPr>
          <w:rFonts w:ascii="Calibri" w:cs="Calibri" w:eastAsia="Calibri" w:hAnsi="Calibri"/>
          <w:i/>
          <w:iCs/>
          <w:sz w:val="22"/>
          <w:szCs w:val="22"/>
        </w:rPr>
        <w:t xml:space="preserve">et al.</w:t>
      </w:r>
      <w:r>
        <w:rPr>
          <w:rFonts w:ascii="Calibri" w:cs="Calibri" w:eastAsia="Calibri" w:hAnsi="Calibri"/>
          <w:sz w:val="22"/>
          <w:szCs w:val="22"/>
        </w:rPr>
        <w:t xml:space="preserve"> trained classifiers on noise-free PD data from XLPE cable joints and tested them with real ground-interference noise of 5–60 s duration added (Figure 7). Accuracy fell for every feature and classifier combination: with statistical features the SVM fell from 91.6% to 48.2%, whereas PCA features with an SVM were the most robust, falling from 93.6% to 75.6% [8]. The same authors note that in earlier studies with software-added noise, ANN accuracy fell from 79% to 42.2% with 10% noise [8]. In contrast, most deep-learning studies reviewed in Section 3.2.3 were tested only on clean laboratory data, and both Uckol </w:t>
      </w:r>
      <w:r>
        <w:rPr>
          <w:rFonts w:ascii="Calibri" w:cs="Calibri" w:eastAsia="Calibri" w:hAnsi="Calibri"/>
          <w:i/>
          <w:iCs/>
          <w:sz w:val="22"/>
          <w:szCs w:val="22"/>
        </w:rPr>
        <w:t xml:space="preserve">et al.</w:t>
      </w:r>
      <w:r>
        <w:rPr>
          <w:rFonts w:ascii="Calibri" w:cs="Calibri" w:eastAsia="Calibri" w:hAnsi="Calibri"/>
          <w:sz w:val="22"/>
          <w:szCs w:val="22"/>
        </w:rPr>
        <w:t xml:space="preserve"> and Li </w:t>
      </w:r>
      <w:r>
        <w:rPr>
          <w:rFonts w:ascii="Calibri" w:cs="Calibri" w:eastAsia="Calibri" w:hAnsi="Calibri"/>
          <w:i/>
          <w:iCs/>
          <w:sz w:val="22"/>
          <w:szCs w:val="22"/>
        </w:rPr>
        <w:t xml:space="preserve">et al.</w:t>
      </w:r>
      <w:r>
        <w:rPr>
          <w:rFonts w:ascii="Calibri" w:cs="Calibri" w:eastAsia="Calibri" w:hAnsi="Calibri"/>
          <w:sz w:val="22"/>
          <w:szCs w:val="22"/>
        </w:rPr>
        <w:t xml:space="preserve"> list noise as future work [5], [12]. Robustness to noise is therefore an open question for the deep-learning candidates and will be tested next semester with background recordings from the laboratory.</w:t>
      </w:r>
    </w:p>
    <w:p>
      <w:pPr>
        <w:spacing w:after="60" w:before="120"/>
        <w:jc w:val="center"/>
      </w:pPr>
      <w:r>
        <w:drawing>
          <wp:inline distT="0" distB="0" distL="0" distR="0">
            <wp:extent cx="57150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295400"/>
                    </a:xfrm>
                    <a:prstGeom prst="rect">
                      <a:avLst/>
                    </a:prstGeom>
                  </pic:spPr>
                </pic:pic>
              </a:graphicData>
            </a:graphic>
          </wp:inline>
        </w:drawing>
      </w:r>
    </w:p>
    <w:p>
      <w:pPr>
        <w:spacing w:after="200"/>
        <w:jc w:val="center"/>
      </w:pPr>
      <w:r>
        <w:rPr>
          <w:rFonts w:ascii="Calibri" w:cs="Calibri" w:eastAsia="Calibri" w:hAnsi="Calibri"/>
          <w:b/>
          <w:bCs/>
          <w:i w:val="false"/>
          <w:iCs w:val="false"/>
          <w:sz w:val="20"/>
          <w:szCs w:val="20"/>
        </w:rPr>
        <w:t xml:space="preserve">Figure 7.</w:t>
      </w:r>
      <w:r>
        <w:rPr>
          <w:rFonts w:ascii="Calibri" w:cs="Calibri" w:eastAsia="Calibri" w:hAnsi="Calibri"/>
          <w:i w:val="false"/>
          <w:iCs w:val="false"/>
          <w:sz w:val="20"/>
          <w:szCs w:val="20"/>
        </w:rPr>
        <w:t xml:space="preserve"> Classification accuracy against duration of added real noise for (a) ANN, (b) ANFIS and (c) SVM with statistical, fractal and PCA features. Rearranged from Raymond </w:t>
      </w:r>
      <w:r>
        <w:rPr>
          <w:rFonts w:ascii="Calibri" w:cs="Calibri" w:eastAsia="Calibri" w:hAnsi="Calibri"/>
          <w:i/>
          <w:iCs/>
          <w:sz w:val="20"/>
          <w:szCs w:val="20"/>
        </w:rPr>
        <w:t xml:space="preserve">et al.</w:t>
      </w:r>
      <w:r>
        <w:rPr>
          <w:rFonts w:ascii="Calibri" w:cs="Calibri" w:eastAsia="Calibri" w:hAnsi="Calibri"/>
          <w:i w:val="false"/>
          <w:iCs w:val="false"/>
          <w:sz w:val="20"/>
          <w:szCs w:val="20"/>
        </w:rPr>
        <w:t xml:space="preserve"> [8], Fig. 5, under the CC BY 4.0 licence.</w:t>
      </w:r>
    </w:p>
    <w:p>
      <w:pPr>
        <w:pStyle w:val="Heading3"/>
        <w:spacing w:after="120" w:before="240"/>
      </w:pPr>
      <w:r>
        <w:rPr>
          <w:rFonts w:ascii="Calibri" w:cs="Calibri" w:eastAsia="Calibri" w:hAnsi="Calibri"/>
          <w:b/>
          <w:bCs/>
          <w:color w:val="1F3864"/>
          <w:sz w:val="24"/>
          <w:szCs w:val="24"/>
        </w:rPr>
        <w:t xml:space="preserve">3.2.5.3  Generalisation and data</w:t>
      </w:r>
    </w:p>
    <w:p>
      <w:pPr>
        <w:pStyle w:val="ListParagraph"/>
        <w:numPr>
          <w:ilvl w:val="0"/>
          <w:numId w:val="2"/>
        </w:numPr>
        <w:spacing w:after="80" w:line="276"/>
        <w:jc w:val="both"/>
      </w:pPr>
      <w:r>
        <w:rPr>
          <w:rFonts w:ascii="Calibri" w:cs="Calibri" w:eastAsia="Calibri" w:hAnsi="Calibri"/>
          <w:b/>
          <w:bCs/>
          <w:sz w:val="22"/>
          <w:szCs w:val="22"/>
        </w:rPr>
        <w:t xml:space="preserve">New specimens.</w:t>
      </w:r>
      <w:r>
        <w:rPr>
          <w:rFonts w:ascii="Calibri" w:cs="Calibri" w:eastAsia="Calibri" w:hAnsi="Calibri"/>
          <w:sz w:val="22"/>
          <w:szCs w:val="22"/>
        </w:rPr>
        <w:t xml:space="preserve"> Uckol </w:t>
      </w:r>
      <w:r>
        <w:rPr>
          <w:rFonts w:ascii="Calibri" w:cs="Calibri" w:eastAsia="Calibri" w:hAnsi="Calibri"/>
          <w:i/>
          <w:iCs/>
          <w:sz w:val="22"/>
          <w:szCs w:val="22"/>
        </w:rPr>
        <w:t xml:space="preserve">et al.</w:t>
      </w:r>
      <w:r>
        <w:rPr>
          <w:rFonts w:ascii="Calibri" w:cs="Calibri" w:eastAsia="Calibri" w:hAnsi="Calibri"/>
          <w:sz w:val="22"/>
          <w:szCs w:val="22"/>
        </w:rPr>
        <w:t xml:space="preserve"> recorded the same five defects on two separate cable sets. Training on one set and testing on the other gave 97.2% and 94.3%, compared with 98.8% when both sets were mixed; in the harder case, 21.7% of void patterns were misclassified [5]. Performance on a mixed split therefore overstates performance on new specimens.</w:t>
      </w:r>
    </w:p>
    <w:p>
      <w:pPr>
        <w:pStyle w:val="ListParagraph"/>
        <w:numPr>
          <w:ilvl w:val="0"/>
          <w:numId w:val="2"/>
        </w:numPr>
        <w:spacing w:after="80" w:line="276"/>
        <w:jc w:val="both"/>
      </w:pPr>
      <w:r>
        <w:rPr>
          <w:rFonts w:ascii="Calibri" w:cs="Calibri" w:eastAsia="Calibri" w:hAnsi="Calibri"/>
          <w:b/>
          <w:bCs/>
          <w:sz w:val="22"/>
          <w:szCs w:val="22"/>
        </w:rPr>
        <w:t xml:space="preserve">Independence of training and test data.</w:t>
      </w:r>
      <w:r>
        <w:rPr>
          <w:rFonts w:ascii="Calibri" w:cs="Calibri" w:eastAsia="Calibri" w:hAnsi="Calibri"/>
          <w:sz w:val="22"/>
          <w:szCs w:val="22"/>
        </w:rPr>
        <w:t xml:space="preserve"> Nguyen </w:t>
      </w:r>
      <w:r>
        <w:rPr>
          <w:rFonts w:ascii="Calibri" w:cs="Calibri" w:eastAsia="Calibri" w:hAnsi="Calibri"/>
          <w:i/>
          <w:iCs/>
          <w:sz w:val="22"/>
          <w:szCs w:val="22"/>
        </w:rPr>
        <w:t xml:space="preserve">et al.</w:t>
      </w:r>
      <w:r>
        <w:rPr>
          <w:rFonts w:ascii="Calibri" w:cs="Calibri" w:eastAsia="Calibri" w:hAnsi="Calibri"/>
          <w:sz w:val="22"/>
          <w:szCs w:val="22"/>
        </w:rPr>
        <w:t xml:space="preserve"> created training samples by sliding a 60-cycle window with a shift of one cycle over each 3 600-cycle recording and then split the samples 80/10/10 [11], and Sun </w:t>
      </w:r>
      <w:r>
        <w:rPr>
          <w:rFonts w:ascii="Calibri" w:cs="Calibri" w:eastAsia="Calibri" w:hAnsi="Calibri"/>
          <w:i/>
          <w:iCs/>
          <w:sz w:val="22"/>
          <w:szCs w:val="22"/>
        </w:rPr>
        <w:t xml:space="preserve">et al.</w:t>
      </w:r>
      <w:r>
        <w:rPr>
          <w:rFonts w:ascii="Calibri" w:cs="Calibri" w:eastAsia="Calibri" w:hAnsi="Calibri"/>
          <w:sz w:val="22"/>
          <w:szCs w:val="22"/>
        </w:rPr>
        <w:t xml:space="preserve"> split individual pulses randomly [6]. In such cases training and test samples can come from the same recording, which can make results optimistic. Splitting by specimen or recording session avoids this.</w:t>
      </w:r>
    </w:p>
    <w:p>
      <w:pPr>
        <w:pStyle w:val="ListParagraph"/>
        <w:numPr>
          <w:ilvl w:val="0"/>
          <w:numId w:val="2"/>
        </w:numPr>
        <w:spacing w:after="80" w:line="276"/>
        <w:jc w:val="both"/>
      </w:pPr>
      <w:r>
        <w:rPr>
          <w:rFonts w:ascii="Calibri" w:cs="Calibri" w:eastAsia="Calibri" w:hAnsi="Calibri"/>
          <w:b/>
          <w:bCs/>
          <w:sz w:val="22"/>
          <w:szCs w:val="22"/>
        </w:rPr>
        <w:t xml:space="preserve">Amount of data.</w:t>
      </w:r>
      <w:r>
        <w:rPr>
          <w:rFonts w:ascii="Calibri" w:cs="Calibri" w:eastAsia="Calibri" w:hAnsi="Calibri"/>
          <w:sz w:val="22"/>
          <w:szCs w:val="22"/>
        </w:rPr>
        <w:t xml:space="preserve"> Sun </w:t>
      </w:r>
      <w:r>
        <w:rPr>
          <w:rFonts w:ascii="Calibri" w:cs="Calibri" w:eastAsia="Calibri" w:hAnsi="Calibri"/>
          <w:i/>
          <w:iCs/>
          <w:sz w:val="22"/>
          <w:szCs w:val="22"/>
        </w:rPr>
        <w:t xml:space="preserve">et al.</w:t>
      </w:r>
      <w:r>
        <w:rPr>
          <w:rFonts w:ascii="Calibri" w:cs="Calibri" w:eastAsia="Calibri" w:hAnsi="Calibri"/>
          <w:sz w:val="22"/>
          <w:szCs w:val="22"/>
        </w:rPr>
        <w:t xml:space="preserve"> found that accuracy rose from 73.6% with 20% of the data used for training to 98.7% with 90%, and that the spread of results narrowed as data increased [6].</w:t>
      </w:r>
    </w:p>
    <w:p>
      <w:pPr>
        <w:pStyle w:val="ListParagraph"/>
        <w:numPr>
          <w:ilvl w:val="0"/>
          <w:numId w:val="2"/>
        </w:numPr>
        <w:spacing w:after="80" w:line="276"/>
        <w:jc w:val="both"/>
      </w:pPr>
      <w:r>
        <w:rPr>
          <w:rFonts w:ascii="Calibri" w:cs="Calibri" w:eastAsia="Calibri" w:hAnsi="Calibri"/>
          <w:b/>
          <w:bCs/>
          <w:sz w:val="22"/>
          <w:szCs w:val="22"/>
        </w:rPr>
        <w:t xml:space="preserve">Changing conditions and unknown patterns.</w:t>
      </w:r>
      <w:r>
        <w:rPr>
          <w:rFonts w:ascii="Calibri" w:cs="Calibri" w:eastAsia="Calibri" w:hAnsi="Calibri"/>
          <w:sz w:val="22"/>
          <w:szCs w:val="22"/>
        </w:rPr>
        <w:t xml:space="preserve"> PD patterns change with test voltage and with ageing [2], and neural networks may assign patterns they were not trained on to a known class [3]. Testing at conditions not seen in training is therefore informative: Sahoo and Karmakar trained on 1 500 PRPD images recorded at 12 kV and tested on 300 images recorded at 11 kV and 14 kV [13].</w:t>
      </w:r>
    </w:p>
    <w:p>
      <w:pPr>
        <w:pStyle w:val="Heading3"/>
        <w:spacing w:after="120" w:before="240"/>
      </w:pPr>
      <w:r>
        <w:rPr>
          <w:rFonts w:ascii="Calibri" w:cs="Calibri" w:eastAsia="Calibri" w:hAnsi="Calibri"/>
          <w:b/>
          <w:bCs/>
          <w:color w:val="1F3864"/>
          <w:sz w:val="24"/>
          <w:szCs w:val="24"/>
        </w:rPr>
        <w:t xml:space="preserve">3.2.5.4  Towards failure prediction</w:t>
      </w:r>
    </w:p>
    <w:p>
      <w:pPr>
        <w:spacing w:after="140" w:line="276"/>
        <w:jc w:val="both"/>
      </w:pPr>
      <w:r>
        <w:rPr>
          <w:rFonts w:ascii="Calibri" w:cs="Calibri" w:eastAsia="Calibri" w:hAnsi="Calibri"/>
          <w:sz w:val="22"/>
          <w:szCs w:val="22"/>
        </w:rPr>
        <w:t xml:space="preserve">Classification describes the current state of the insulation; failure prediction requires tracking how PD changes over time. PD distributions change significantly as insulation ages, and this has been used to assess the degree of degradation [2]. Two recent studies show how deep learning can be extended in this direction.</w:t>
      </w:r>
    </w:p>
    <w:p>
      <w:pPr>
        <w:pStyle w:val="ListParagraph"/>
        <w:numPr>
          <w:ilvl w:val="0"/>
          <w:numId w:val="2"/>
        </w:numPr>
        <w:spacing w:after="80" w:line="276"/>
        <w:jc w:val="both"/>
      </w:pPr>
      <w:r>
        <w:rPr>
          <w:rFonts w:ascii="Calibri" w:cs="Calibri" w:eastAsia="Calibri" w:hAnsi="Calibri"/>
          <w:b/>
          <w:bCs/>
          <w:sz w:val="22"/>
          <w:szCs w:val="22"/>
        </w:rPr>
        <w:t xml:space="preserve">Classifying the stage of degradation.</w:t>
      </w:r>
      <w:r>
        <w:rPr>
          <w:rFonts w:ascii="Calibri" w:cs="Calibri" w:eastAsia="Calibri" w:hAnsi="Calibri"/>
          <w:sz w:val="22"/>
          <w:szCs w:val="22"/>
        </w:rPr>
        <w:t xml:space="preserve"> Sahoo and Karmakar grew electrical trees from a needle electrode in XLPE samples cut from a 19/33 kV cable. At 12 kV, tree growth passed through a fast-growth phase up to 120 min (6.47 µm/min, maximum PD 120 pC), a slow-growth phase from 120 to 210 min (1.62 µm/min, 189 pC) and a breakdown phase after 210 min (6.9 µm/min, 234 pC). PRPD images of the three stages were classified with 98.44% accuracy by a CNN and 99.78% by a pretrained DenseNet201 [13]. Here, failure prediction becomes a classification problem in which the classes are severity stages rather than defect types.</w:t>
      </w:r>
    </w:p>
    <w:p>
      <w:pPr>
        <w:pStyle w:val="ListParagraph"/>
        <w:numPr>
          <w:ilvl w:val="0"/>
          <w:numId w:val="2"/>
        </w:numPr>
        <w:spacing w:after="80" w:line="276"/>
        <w:jc w:val="both"/>
      </w:pPr>
      <w:r>
        <w:rPr>
          <w:rFonts w:ascii="Calibri" w:cs="Calibri" w:eastAsia="Calibri" w:hAnsi="Calibri"/>
          <w:b/>
          <w:bCs/>
          <w:sz w:val="22"/>
          <w:szCs w:val="22"/>
        </w:rPr>
        <w:t xml:space="preserve">Forecasting a failure precursor.</w:t>
      </w:r>
      <w:r>
        <w:rPr>
          <w:rFonts w:ascii="Calibri" w:cs="Calibri" w:eastAsia="Calibri" w:hAnsi="Calibri"/>
          <w:sz w:val="22"/>
          <w:szCs w:val="22"/>
        </w:rPr>
        <w:t xml:space="preserve"> Wang </w:t>
      </w:r>
      <w:r>
        <w:rPr>
          <w:rFonts w:ascii="Calibri" w:cs="Calibri" w:eastAsia="Calibri" w:hAnsi="Calibri"/>
          <w:i/>
          <w:iCs/>
          <w:sz w:val="22"/>
          <w:szCs w:val="22"/>
        </w:rPr>
        <w:t xml:space="preserve">et al.</w:t>
      </w:r>
      <w:r>
        <w:rPr>
          <w:rFonts w:ascii="Calibri" w:cs="Calibri" w:eastAsia="Calibri" w:hAnsi="Calibri"/>
          <w:sz w:val="22"/>
          <w:szCs w:val="22"/>
        </w:rPr>
        <w:t xml:space="preserve"> aged machine-winding insulation at 240 °C and 0.2 atm under five voltages (2 000–2 800 V rms, five samples each) and measured PD with an HFCT every second until failure. The apparent charge, PD count and phase interval per cycle were combined by an autoencoder into one failure precursor, and an LSTM used the previous 50 values to predict the next 50, a 50 s warning margin. The maximum mean absolute error was about 3%, around half that of ARIMA and SVM, although the SVM was more accurate at one ageing voltage (2 200 V) [14].</w:t>
      </w:r>
    </w:p>
    <w:p>
      <w:pPr>
        <w:spacing w:after="140" w:line="276"/>
        <w:jc w:val="both"/>
      </w:pPr>
      <w:r>
        <w:rPr>
          <w:rFonts w:ascii="Calibri" w:cs="Calibri" w:eastAsia="Calibri" w:hAnsi="Calibri"/>
          <w:sz w:val="22"/>
          <w:szCs w:val="22"/>
        </w:rPr>
        <w:t xml:space="preserve">Both studies required specimens to be measured repeatedly until breakdown in accelerated-ageing tests. Such run-to-failure data would have to be collected during the experimental phase next semester; the remainder of this semester will be used to review this direction further and to assess whether such tests are feasible with the laboratory setup.</w:t>
      </w:r>
    </w:p>
    <w:p>
      <w:pPr>
        <w:pStyle w:val="Heading3"/>
        <w:spacing w:after="120" w:before="240"/>
      </w:pPr>
      <w:r>
        <w:rPr>
          <w:rFonts w:ascii="Calibri" w:cs="Calibri" w:eastAsia="Calibri" w:hAnsi="Calibri"/>
          <w:b/>
          <w:bCs/>
          <w:color w:val="1F3864"/>
          <w:sz w:val="24"/>
          <w:szCs w:val="24"/>
        </w:rPr>
        <w:t xml:space="preserve">3.2.5.5  Implications for the evaluation plan</w:t>
      </w:r>
    </w:p>
    <w:p>
      <w:pPr>
        <w:spacing w:after="140" w:line="276"/>
        <w:jc w:val="both"/>
      </w:pPr>
      <w:r>
        <w:rPr>
          <w:rFonts w:ascii="Calibri" w:cs="Calibri" w:eastAsia="Calibri" w:hAnsi="Calibri"/>
          <w:sz w:val="22"/>
          <w:szCs w:val="22"/>
        </w:rPr>
        <w:t xml:space="preserve">The review leads to a provisional evaluation plan for the experimental phase next semester, to be refined before then: record the specimen and session of every measurement and split the data by these groups; report per-class and macro-averaged metrics with confusion matrices; test all candidate models on the same split and with real laboratory background noise; evaluate an “unknown” output for low-confidence cases; and, where possible, record repeated measurements of the same specimen over time to support the later study of failure prediction.</w:t>
      </w:r>
    </w:p>
    <w:p>
      <w:pPr>
        <w:pStyle w:val="Heading3"/>
        <w:spacing w:after="120" w:before="240"/>
      </w:pPr>
      <w:r>
        <w:rPr>
          <w:rFonts w:ascii="Calibri" w:cs="Calibri" w:eastAsia="Calibri" w:hAnsi="Calibri"/>
          <w:b/>
          <w:bCs/>
          <w:color w:val="1F3864"/>
          <w:sz w:val="24"/>
          <w:szCs w:val="24"/>
        </w:rPr>
        <w:t xml:space="preserve">References used in these sections</w:t>
      </w:r>
    </w:p>
    <w:p>
      <w:pPr>
        <w:spacing w:after="100"/>
        <w:ind w:left="500" w:hanging="500"/>
      </w:pPr>
      <w:r>
        <w:rPr>
          <w:rFonts w:ascii="Calibri" w:cs="Calibri" w:eastAsia="Calibri" w:hAnsi="Calibri"/>
          <w:sz w:val="22"/>
          <w:szCs w:val="22"/>
        </w:rPr>
        <w:t xml:space="preserve">[2]	</w:t>
      </w:r>
      <w:r>
        <w:rPr>
          <w:rFonts w:ascii="Calibri" w:cs="Calibri" w:eastAsia="Calibri" w:hAnsi="Calibri"/>
          <w:sz w:val="22"/>
          <w:szCs w:val="22"/>
        </w:rPr>
        <w:t xml:space="preserve">A. Krivda, “Automated recognition of partial discharges,” </w:t>
      </w:r>
      <w:r>
        <w:rPr>
          <w:rFonts w:ascii="Calibri" w:cs="Calibri" w:eastAsia="Calibri" w:hAnsi="Calibri"/>
          <w:i/>
          <w:iCs/>
          <w:sz w:val="22"/>
          <w:szCs w:val="22"/>
        </w:rPr>
        <w:t xml:space="preserve">IEEE Trans. Dielectr. Electr. Insul.</w:t>
      </w:r>
      <w:r>
        <w:rPr>
          <w:rFonts w:ascii="Calibri" w:cs="Calibri" w:eastAsia="Calibri" w:hAnsi="Calibri"/>
          <w:sz w:val="22"/>
          <w:szCs w:val="22"/>
        </w:rPr>
        <w:t xml:space="preserve">, vol. 2, no. 5, pp. 796–821, 1995.</w:t>
      </w:r>
      <w:r>
        <w:rPr>
          <w:rFonts w:ascii="Calibri" w:cs="Calibri" w:eastAsia="Calibri" w:hAnsi="Calibri"/>
          <w:sz w:val="22"/>
          <w:szCs w:val="22"/>
        </w:rPr>
        <w:t xml:space="preserve"> </w:t>
      </w:r>
      <w:hyperlink w:history="1" r:id="rIdeg32-jockp0tem8kdwzc0">
        <w:r>
          <w:rPr>
            <w:rStyle w:val="Hyperlink"/>
            <w:rFonts w:ascii="Calibri" w:cs="Calibri" w:eastAsia="Calibri" w:hAnsi="Calibri"/>
            <w:sz w:val="22"/>
            <w:szCs w:val="22"/>
          </w:rPr>
          <w:t xml:space="preserve">https://doi.org/10.1109/94.469976</w:t>
        </w:r>
      </w:hyperlink>
    </w:p>
    <w:p>
      <w:pPr>
        <w:spacing w:after="100"/>
        <w:ind w:left="500" w:hanging="500"/>
      </w:pPr>
      <w:r>
        <w:rPr>
          <w:rFonts w:ascii="Calibri" w:cs="Calibri" w:eastAsia="Calibri" w:hAnsi="Calibri"/>
          <w:sz w:val="22"/>
          <w:szCs w:val="22"/>
        </w:rPr>
        <w:t xml:space="preserve">[3]	</w:t>
      </w:r>
      <w:r>
        <w:rPr>
          <w:rFonts w:ascii="Calibri" w:cs="Calibri" w:eastAsia="Calibri" w:hAnsi="Calibri"/>
          <w:sz w:val="22"/>
          <w:szCs w:val="22"/>
        </w:rPr>
        <w:t xml:space="preserve">E. Gulski and A. Krivda, “Neural networks as a tool for recognition of partial discharges,” </w:t>
      </w:r>
      <w:r>
        <w:rPr>
          <w:rFonts w:ascii="Calibri" w:cs="Calibri" w:eastAsia="Calibri" w:hAnsi="Calibri"/>
          <w:i/>
          <w:iCs/>
          <w:sz w:val="22"/>
          <w:szCs w:val="22"/>
        </w:rPr>
        <w:t xml:space="preserve">IEEE Trans. Electr. Insul.</w:t>
      </w:r>
      <w:r>
        <w:rPr>
          <w:rFonts w:ascii="Calibri" w:cs="Calibri" w:eastAsia="Calibri" w:hAnsi="Calibri"/>
          <w:sz w:val="22"/>
          <w:szCs w:val="22"/>
        </w:rPr>
        <w:t xml:space="preserve">, vol. 28, no. 6, pp. 984–1001, 1993.</w:t>
      </w:r>
      <w:r>
        <w:rPr>
          <w:rFonts w:ascii="Calibri" w:cs="Calibri" w:eastAsia="Calibri" w:hAnsi="Calibri"/>
          <w:sz w:val="22"/>
          <w:szCs w:val="22"/>
        </w:rPr>
        <w:t xml:space="preserve"> </w:t>
      </w:r>
      <w:hyperlink w:history="1" r:id="rIdzijhoco-5ok6kebmiorji">
        <w:r>
          <w:rPr>
            <w:rStyle w:val="Hyperlink"/>
            <w:rFonts w:ascii="Calibri" w:cs="Calibri" w:eastAsia="Calibri" w:hAnsi="Calibri"/>
            <w:sz w:val="22"/>
            <w:szCs w:val="22"/>
          </w:rPr>
          <w:t xml:space="preserve">https://doi.org/10.1109/14.249372</w:t>
        </w:r>
      </w:hyperlink>
    </w:p>
    <w:p>
      <w:pPr>
        <w:spacing w:after="100"/>
        <w:ind w:left="500" w:hanging="500"/>
      </w:pPr>
      <w:r>
        <w:rPr>
          <w:rFonts w:ascii="Calibri" w:cs="Calibri" w:eastAsia="Calibri" w:hAnsi="Calibri"/>
          <w:sz w:val="22"/>
          <w:szCs w:val="22"/>
        </w:rPr>
        <w:t xml:space="preserve">[4]	</w:t>
      </w:r>
      <w:r>
        <w:rPr>
          <w:rFonts w:ascii="Calibri" w:cs="Calibri" w:eastAsia="Calibri" w:hAnsi="Calibri"/>
          <w:sz w:val="22"/>
          <w:szCs w:val="22"/>
        </w:rPr>
        <w:t xml:space="preserve">H. Kumar, M. Shafiq, K. Kauhaniemi, and M. Elmusrati, “A review on the classification of partial discharges in medium-voltage cables: detection, feature extraction, artificial intelligence-based classification, and optimization techniques,” </w:t>
      </w:r>
      <w:r>
        <w:rPr>
          <w:rFonts w:ascii="Calibri" w:cs="Calibri" w:eastAsia="Calibri" w:hAnsi="Calibri"/>
          <w:i/>
          <w:iCs/>
          <w:sz w:val="22"/>
          <w:szCs w:val="22"/>
        </w:rPr>
        <w:t xml:space="preserve">Energies</w:t>
      </w:r>
      <w:r>
        <w:rPr>
          <w:rFonts w:ascii="Calibri" w:cs="Calibri" w:eastAsia="Calibri" w:hAnsi="Calibri"/>
          <w:sz w:val="22"/>
          <w:szCs w:val="22"/>
        </w:rPr>
        <w:t xml:space="preserve">, vol. 17, no. 5, 1142, 2024.</w:t>
      </w:r>
      <w:r>
        <w:rPr>
          <w:rFonts w:ascii="Calibri" w:cs="Calibri" w:eastAsia="Calibri" w:hAnsi="Calibri"/>
          <w:sz w:val="22"/>
          <w:szCs w:val="22"/>
        </w:rPr>
        <w:t xml:space="preserve"> </w:t>
      </w:r>
      <w:hyperlink w:history="1" r:id="rIdgrqhqobs9jtgiqfkatpsc">
        <w:r>
          <w:rPr>
            <w:rStyle w:val="Hyperlink"/>
            <w:rFonts w:ascii="Calibri" w:cs="Calibri" w:eastAsia="Calibri" w:hAnsi="Calibri"/>
            <w:sz w:val="22"/>
            <w:szCs w:val="22"/>
          </w:rPr>
          <w:t xml:space="preserve">https://doi.org/10.3390/en17051142</w:t>
        </w:r>
      </w:hyperlink>
    </w:p>
    <w:p>
      <w:pPr>
        <w:spacing w:after="100"/>
        <w:ind w:left="500" w:hanging="500"/>
      </w:pPr>
      <w:r>
        <w:rPr>
          <w:rFonts w:ascii="Calibri" w:cs="Calibri" w:eastAsia="Calibri" w:hAnsi="Calibri"/>
          <w:sz w:val="22"/>
          <w:szCs w:val="22"/>
        </w:rPr>
        <w:t xml:space="preserve">[5]	</w:t>
      </w:r>
      <w:r>
        <w:rPr>
          <w:rFonts w:ascii="Calibri" w:cs="Calibri" w:eastAsia="Calibri" w:hAnsi="Calibri"/>
          <w:sz w:val="22"/>
          <w:szCs w:val="22"/>
        </w:rPr>
        <w:t xml:space="preserve">H. I. Uckol, S. Ilhan, and A. Ozdemir, “Workmanship defect classification in medium voltage cable terminations with convolutional neural network,” </w:t>
      </w:r>
      <w:r>
        <w:rPr>
          <w:rFonts w:ascii="Calibri" w:cs="Calibri" w:eastAsia="Calibri" w:hAnsi="Calibri"/>
          <w:i/>
          <w:iCs/>
          <w:sz w:val="22"/>
          <w:szCs w:val="22"/>
        </w:rPr>
        <w:t xml:space="preserve">Electr. Power Syst. Res.</w:t>
      </w:r>
      <w:r>
        <w:rPr>
          <w:rFonts w:ascii="Calibri" w:cs="Calibri" w:eastAsia="Calibri" w:hAnsi="Calibri"/>
          <w:sz w:val="22"/>
          <w:szCs w:val="22"/>
        </w:rPr>
        <w:t xml:space="preserve">, vol. 194, 107105, 2021.</w:t>
      </w:r>
      <w:r>
        <w:rPr>
          <w:rFonts w:ascii="Calibri" w:cs="Calibri" w:eastAsia="Calibri" w:hAnsi="Calibri"/>
          <w:sz w:val="22"/>
          <w:szCs w:val="22"/>
        </w:rPr>
        <w:t xml:space="preserve"> </w:t>
      </w:r>
      <w:hyperlink w:history="1" r:id="rIdmb8i9_z358fhy2qc3mb7i">
        <w:r>
          <w:rPr>
            <w:rStyle w:val="Hyperlink"/>
            <w:rFonts w:ascii="Calibri" w:cs="Calibri" w:eastAsia="Calibri" w:hAnsi="Calibri"/>
            <w:sz w:val="22"/>
            <w:szCs w:val="22"/>
          </w:rPr>
          <w:t xml:space="preserve">https://doi.org/10.1016/j.epsr.2021.107105</w:t>
        </w:r>
      </w:hyperlink>
    </w:p>
    <w:p>
      <w:pPr>
        <w:spacing w:after="100"/>
        <w:ind w:left="500" w:hanging="500"/>
      </w:pPr>
      <w:r>
        <w:rPr>
          <w:rFonts w:ascii="Calibri" w:cs="Calibri" w:eastAsia="Calibri" w:hAnsi="Calibri"/>
          <w:sz w:val="22"/>
          <w:szCs w:val="22"/>
        </w:rPr>
        <w:t xml:space="preserve">[6]	</w:t>
      </w:r>
      <w:r>
        <w:rPr>
          <w:rFonts w:ascii="Calibri" w:cs="Calibri" w:eastAsia="Calibri" w:hAnsi="Calibri"/>
          <w:sz w:val="22"/>
          <w:szCs w:val="22"/>
        </w:rPr>
        <w:t xml:space="preserve">C. Sun </w:t>
      </w:r>
      <w:r>
        <w:rPr>
          <w:rFonts w:ascii="Calibri" w:cs="Calibri" w:eastAsia="Calibri" w:hAnsi="Calibri"/>
          <w:i/>
          <w:iCs/>
          <w:sz w:val="22"/>
          <w:szCs w:val="22"/>
        </w:rPr>
        <w:t xml:space="preserve">et al.</w:t>
      </w:r>
      <w:r>
        <w:rPr>
          <w:rFonts w:ascii="Calibri" w:cs="Calibri" w:eastAsia="Calibri" w:hAnsi="Calibri"/>
          <w:sz w:val="22"/>
          <w:szCs w:val="22"/>
        </w:rPr>
        <w:t xml:space="preserve">, “Convolutional neural network-based pattern recognition of partial discharge in high-speed electric-multiple-unit cable termination,” </w:t>
      </w:r>
      <w:r>
        <w:rPr>
          <w:rFonts w:ascii="Calibri" w:cs="Calibri" w:eastAsia="Calibri" w:hAnsi="Calibri"/>
          <w:i/>
          <w:iCs/>
          <w:sz w:val="22"/>
          <w:szCs w:val="22"/>
        </w:rPr>
        <w:t xml:space="preserve">Sensors</w:t>
      </w:r>
      <w:r>
        <w:rPr>
          <w:rFonts w:ascii="Calibri" w:cs="Calibri" w:eastAsia="Calibri" w:hAnsi="Calibri"/>
          <w:sz w:val="22"/>
          <w:szCs w:val="22"/>
        </w:rPr>
        <w:t xml:space="preserve">, vol. 24, no. 8, 2660, 2024.</w:t>
      </w:r>
      <w:r>
        <w:rPr>
          <w:rFonts w:ascii="Calibri" w:cs="Calibri" w:eastAsia="Calibri" w:hAnsi="Calibri"/>
          <w:sz w:val="22"/>
          <w:szCs w:val="22"/>
        </w:rPr>
        <w:t xml:space="preserve"> </w:t>
      </w:r>
      <w:hyperlink w:history="1" r:id="rIdsjauh5rkq7xycqwhokil1">
        <w:r>
          <w:rPr>
            <w:rStyle w:val="Hyperlink"/>
            <w:rFonts w:ascii="Calibri" w:cs="Calibri" w:eastAsia="Calibri" w:hAnsi="Calibri"/>
            <w:sz w:val="22"/>
            <w:szCs w:val="22"/>
          </w:rPr>
          <w:t xml:space="preserve">https://doi.org/10.3390/s24082660</w:t>
        </w:r>
      </w:hyperlink>
    </w:p>
    <w:p>
      <w:pPr>
        <w:spacing w:after="100"/>
        <w:ind w:left="500" w:hanging="500"/>
      </w:pPr>
      <w:r>
        <w:rPr>
          <w:rFonts w:ascii="Calibri" w:cs="Calibri" w:eastAsia="Calibri" w:hAnsi="Calibri"/>
          <w:sz w:val="22"/>
          <w:szCs w:val="22"/>
        </w:rPr>
        <w:t xml:space="preserve">[7]	</w:t>
      </w:r>
      <w:r>
        <w:rPr>
          <w:rFonts w:ascii="Calibri" w:cs="Calibri" w:eastAsia="Calibri" w:hAnsi="Calibri"/>
          <w:sz w:val="22"/>
          <w:szCs w:val="22"/>
        </w:rPr>
        <w:t xml:space="preserve">C. Qin </w:t>
      </w:r>
      <w:r>
        <w:rPr>
          <w:rFonts w:ascii="Calibri" w:cs="Calibri" w:eastAsia="Calibri" w:hAnsi="Calibri"/>
          <w:i/>
          <w:iCs/>
          <w:sz w:val="22"/>
          <w:szCs w:val="22"/>
        </w:rPr>
        <w:t xml:space="preserve">et al.</w:t>
      </w:r>
      <w:r>
        <w:rPr>
          <w:rFonts w:ascii="Calibri" w:cs="Calibri" w:eastAsia="Calibri" w:hAnsi="Calibri"/>
          <w:sz w:val="22"/>
          <w:szCs w:val="22"/>
        </w:rPr>
        <w:t xml:space="preserve">, “Partial discharge signal pattern recognition of composite insulation defects in cross-linked polyethylene cables,” </w:t>
      </w:r>
      <w:r>
        <w:rPr>
          <w:rFonts w:ascii="Calibri" w:cs="Calibri" w:eastAsia="Calibri" w:hAnsi="Calibri"/>
          <w:i/>
          <w:iCs/>
          <w:sz w:val="22"/>
          <w:szCs w:val="22"/>
        </w:rPr>
        <w:t xml:space="preserve">Sensors</w:t>
      </w:r>
      <w:r>
        <w:rPr>
          <w:rFonts w:ascii="Calibri" w:cs="Calibri" w:eastAsia="Calibri" w:hAnsi="Calibri"/>
          <w:sz w:val="22"/>
          <w:szCs w:val="22"/>
        </w:rPr>
        <w:t xml:space="preserve">, vol. 24, no. 11, 3460, 2024.</w:t>
      </w:r>
      <w:r>
        <w:rPr>
          <w:rFonts w:ascii="Calibri" w:cs="Calibri" w:eastAsia="Calibri" w:hAnsi="Calibri"/>
          <w:sz w:val="22"/>
          <w:szCs w:val="22"/>
        </w:rPr>
        <w:t xml:space="preserve"> </w:t>
      </w:r>
      <w:hyperlink w:history="1" r:id="rIdd3wve6tz6q85-egb3y1xq">
        <w:r>
          <w:rPr>
            <w:rStyle w:val="Hyperlink"/>
            <w:rFonts w:ascii="Calibri" w:cs="Calibri" w:eastAsia="Calibri" w:hAnsi="Calibri"/>
            <w:sz w:val="22"/>
            <w:szCs w:val="22"/>
          </w:rPr>
          <w:t xml:space="preserve">https://doi.org/10.3390/s24113460</w:t>
        </w:r>
      </w:hyperlink>
    </w:p>
    <w:p>
      <w:pPr>
        <w:spacing w:after="100"/>
        <w:ind w:left="500" w:hanging="500"/>
      </w:pPr>
      <w:r>
        <w:rPr>
          <w:rFonts w:ascii="Calibri" w:cs="Calibri" w:eastAsia="Calibri" w:hAnsi="Calibri"/>
          <w:sz w:val="22"/>
          <w:szCs w:val="22"/>
        </w:rPr>
        <w:t xml:space="preserve">[8]	</w:t>
      </w:r>
      <w:r>
        <w:rPr>
          <w:rFonts w:ascii="Calibri" w:cs="Calibri" w:eastAsia="Calibri" w:hAnsi="Calibri"/>
          <w:sz w:val="22"/>
          <w:szCs w:val="22"/>
        </w:rPr>
        <w:t xml:space="preserve">W. J. K. Raymond, H. A. Illias, and A. H. A. Bakar, “Classification of partial discharge measured under different levels of noise contamination,” </w:t>
      </w:r>
      <w:r>
        <w:rPr>
          <w:rFonts w:ascii="Calibri" w:cs="Calibri" w:eastAsia="Calibri" w:hAnsi="Calibri"/>
          <w:i/>
          <w:iCs/>
          <w:sz w:val="22"/>
          <w:szCs w:val="22"/>
        </w:rPr>
        <w:t xml:space="preserve">PLOS ONE</w:t>
      </w:r>
      <w:r>
        <w:rPr>
          <w:rFonts w:ascii="Calibri" w:cs="Calibri" w:eastAsia="Calibri" w:hAnsi="Calibri"/>
          <w:sz w:val="22"/>
          <w:szCs w:val="22"/>
        </w:rPr>
        <w:t xml:space="preserve">, vol. 12, no. 1, e0170111, 2017.</w:t>
      </w:r>
      <w:r>
        <w:rPr>
          <w:rFonts w:ascii="Calibri" w:cs="Calibri" w:eastAsia="Calibri" w:hAnsi="Calibri"/>
          <w:sz w:val="22"/>
          <w:szCs w:val="22"/>
        </w:rPr>
        <w:t xml:space="preserve"> </w:t>
      </w:r>
      <w:hyperlink w:history="1" r:id="rIdgb0lmxpqcefvg236mf6mv">
        <w:r>
          <w:rPr>
            <w:rStyle w:val="Hyperlink"/>
            <w:rFonts w:ascii="Calibri" w:cs="Calibri" w:eastAsia="Calibri" w:hAnsi="Calibri"/>
            <w:sz w:val="22"/>
            <w:szCs w:val="22"/>
          </w:rPr>
          <w:t xml:space="preserve">https://doi.org/10.1371/journal.pone.0170111</w:t>
        </w:r>
      </w:hyperlink>
    </w:p>
    <w:p>
      <w:pPr>
        <w:spacing w:after="100"/>
        <w:ind w:left="500" w:hanging="500"/>
      </w:pPr>
      <w:r>
        <w:rPr>
          <w:rFonts w:ascii="Calibri" w:cs="Calibri" w:eastAsia="Calibri" w:hAnsi="Calibri"/>
          <w:sz w:val="22"/>
          <w:szCs w:val="22"/>
        </w:rPr>
        <w:t xml:space="preserve">[10]	</w:t>
      </w:r>
      <w:r>
        <w:rPr>
          <w:rFonts w:ascii="Calibri" w:cs="Calibri" w:eastAsia="Calibri" w:hAnsi="Calibri"/>
          <w:sz w:val="22"/>
          <w:szCs w:val="22"/>
        </w:rPr>
        <w:t xml:space="preserve">X. Peng </w:t>
      </w:r>
      <w:r>
        <w:rPr>
          <w:rFonts w:ascii="Calibri" w:cs="Calibri" w:eastAsia="Calibri" w:hAnsi="Calibri"/>
          <w:i/>
          <w:iCs/>
          <w:sz w:val="22"/>
          <w:szCs w:val="22"/>
        </w:rPr>
        <w:t xml:space="preserve">et al.</w:t>
      </w:r>
      <w:r>
        <w:rPr>
          <w:rFonts w:ascii="Calibri" w:cs="Calibri" w:eastAsia="Calibri" w:hAnsi="Calibri"/>
          <w:sz w:val="22"/>
          <w:szCs w:val="22"/>
        </w:rPr>
        <w:t xml:space="preserve">, “A convolutional neural network-based deep learning methodology for recognition of partial discharge patterns from high-voltage cables,” </w:t>
      </w:r>
      <w:r>
        <w:rPr>
          <w:rFonts w:ascii="Calibri" w:cs="Calibri" w:eastAsia="Calibri" w:hAnsi="Calibri"/>
          <w:i/>
          <w:iCs/>
          <w:sz w:val="22"/>
          <w:szCs w:val="22"/>
        </w:rPr>
        <w:t xml:space="preserve">IEEE Trans. Power Del.</w:t>
      </w:r>
      <w:r>
        <w:rPr>
          <w:rFonts w:ascii="Calibri" w:cs="Calibri" w:eastAsia="Calibri" w:hAnsi="Calibri"/>
          <w:sz w:val="22"/>
          <w:szCs w:val="22"/>
        </w:rPr>
        <w:t xml:space="preserve">, vol. 34, no. 4, pp. 1460–1469, 2019.</w:t>
      </w:r>
      <w:r>
        <w:rPr>
          <w:rFonts w:ascii="Calibri" w:cs="Calibri" w:eastAsia="Calibri" w:hAnsi="Calibri"/>
          <w:sz w:val="22"/>
          <w:szCs w:val="22"/>
        </w:rPr>
        <w:t xml:space="preserve"> </w:t>
      </w:r>
      <w:hyperlink w:history="1" r:id="rIdtsmdi5vdcbtj_o32wvljh">
        <w:r>
          <w:rPr>
            <w:rStyle w:val="Hyperlink"/>
            <w:rFonts w:ascii="Calibri" w:cs="Calibri" w:eastAsia="Calibri" w:hAnsi="Calibri"/>
            <w:sz w:val="22"/>
            <w:szCs w:val="22"/>
          </w:rPr>
          <w:t xml:space="preserve">https://doi.org/10.1109/TPWRD.2019.2906086</w:t>
        </w:r>
      </w:hyperlink>
    </w:p>
    <w:p>
      <w:pPr>
        <w:spacing w:after="100"/>
        <w:ind w:left="500" w:hanging="500"/>
      </w:pPr>
      <w:r>
        <w:rPr>
          <w:rFonts w:ascii="Calibri" w:cs="Calibri" w:eastAsia="Calibri" w:hAnsi="Calibri"/>
          <w:sz w:val="22"/>
          <w:szCs w:val="22"/>
        </w:rPr>
        <w:t xml:space="preserve">[11]	</w:t>
      </w:r>
      <w:r>
        <w:rPr>
          <w:rFonts w:ascii="Calibri" w:cs="Calibri" w:eastAsia="Calibri" w:hAnsi="Calibri"/>
          <w:sz w:val="22"/>
          <w:szCs w:val="22"/>
        </w:rPr>
        <w:t xml:space="preserve">M.-T. Nguyen, V.-H. Nguyen, S.-J. Yun, and Y.-H. Kim, “Recurrent neural network for partial discharge diagnosis in gas-insulated switchgear,” </w:t>
      </w:r>
      <w:r>
        <w:rPr>
          <w:rFonts w:ascii="Calibri" w:cs="Calibri" w:eastAsia="Calibri" w:hAnsi="Calibri"/>
          <w:i/>
          <w:iCs/>
          <w:sz w:val="22"/>
          <w:szCs w:val="22"/>
        </w:rPr>
        <w:t xml:space="preserve">Energies</w:t>
      </w:r>
      <w:r>
        <w:rPr>
          <w:rFonts w:ascii="Calibri" w:cs="Calibri" w:eastAsia="Calibri" w:hAnsi="Calibri"/>
          <w:sz w:val="22"/>
          <w:szCs w:val="22"/>
        </w:rPr>
        <w:t xml:space="preserve">, vol. 11, no. 5, 1202, 2018.</w:t>
      </w:r>
      <w:r>
        <w:rPr>
          <w:rFonts w:ascii="Calibri" w:cs="Calibri" w:eastAsia="Calibri" w:hAnsi="Calibri"/>
          <w:sz w:val="22"/>
          <w:szCs w:val="22"/>
        </w:rPr>
        <w:t xml:space="preserve"> </w:t>
      </w:r>
      <w:hyperlink w:history="1" r:id="rIdaihxg0j2sax8pf4pjo-po">
        <w:r>
          <w:rPr>
            <w:rStyle w:val="Hyperlink"/>
            <w:rFonts w:ascii="Calibri" w:cs="Calibri" w:eastAsia="Calibri" w:hAnsi="Calibri"/>
            <w:sz w:val="22"/>
            <w:szCs w:val="22"/>
          </w:rPr>
          <w:t xml:space="preserve">https://doi.org/10.3390/en11051202</w:t>
        </w:r>
      </w:hyperlink>
    </w:p>
    <w:p>
      <w:pPr>
        <w:spacing w:after="100"/>
        <w:ind w:left="500" w:hanging="500"/>
      </w:pPr>
      <w:r>
        <w:rPr>
          <w:rFonts w:ascii="Calibri" w:cs="Calibri" w:eastAsia="Calibri" w:hAnsi="Calibri"/>
          <w:sz w:val="22"/>
          <w:szCs w:val="22"/>
        </w:rPr>
        <w:t xml:space="preserve">[12]	</w:t>
      </w:r>
      <w:r>
        <w:rPr>
          <w:rFonts w:ascii="Calibri" w:cs="Calibri" w:eastAsia="Calibri" w:hAnsi="Calibri"/>
          <w:sz w:val="22"/>
          <w:szCs w:val="22"/>
        </w:rPr>
        <w:t xml:space="preserve">Y. Li </w:t>
      </w:r>
      <w:r>
        <w:rPr>
          <w:rFonts w:ascii="Calibri" w:cs="Calibri" w:eastAsia="Calibri" w:hAnsi="Calibri"/>
          <w:i/>
          <w:iCs/>
          <w:sz w:val="22"/>
          <w:szCs w:val="22"/>
        </w:rPr>
        <w:t xml:space="preserve">et al.</w:t>
      </w:r>
      <w:r>
        <w:rPr>
          <w:rFonts w:ascii="Calibri" w:cs="Calibri" w:eastAsia="Calibri" w:hAnsi="Calibri"/>
          <w:sz w:val="22"/>
          <w:szCs w:val="22"/>
        </w:rPr>
        <w:t xml:space="preserve">, “Partial discharge pattern recognition based on Swin Transformer for power cable fault diagnosis in modern distribution systems,” </w:t>
      </w:r>
      <w:r>
        <w:rPr>
          <w:rFonts w:ascii="Calibri" w:cs="Calibri" w:eastAsia="Calibri" w:hAnsi="Calibri"/>
          <w:i/>
          <w:iCs/>
          <w:sz w:val="22"/>
          <w:szCs w:val="22"/>
        </w:rPr>
        <w:t xml:space="preserve">Processes</w:t>
      </w:r>
      <w:r>
        <w:rPr>
          <w:rFonts w:ascii="Calibri" w:cs="Calibri" w:eastAsia="Calibri" w:hAnsi="Calibri"/>
          <w:sz w:val="22"/>
          <w:szCs w:val="22"/>
        </w:rPr>
        <w:t xml:space="preserve">, vol. 13, no. 3, 852, 2025.</w:t>
      </w:r>
      <w:r>
        <w:rPr>
          <w:rFonts w:ascii="Calibri" w:cs="Calibri" w:eastAsia="Calibri" w:hAnsi="Calibri"/>
          <w:sz w:val="22"/>
          <w:szCs w:val="22"/>
        </w:rPr>
        <w:t xml:space="preserve"> </w:t>
      </w:r>
      <w:hyperlink w:history="1" r:id="rIdo40xghg1kll1f3irgequj">
        <w:r>
          <w:rPr>
            <w:rStyle w:val="Hyperlink"/>
            <w:rFonts w:ascii="Calibri" w:cs="Calibri" w:eastAsia="Calibri" w:hAnsi="Calibri"/>
            <w:sz w:val="22"/>
            <w:szCs w:val="22"/>
          </w:rPr>
          <w:t xml:space="preserve">https://doi.org/10.3390/pr13030852</w:t>
        </w:r>
      </w:hyperlink>
    </w:p>
    <w:p>
      <w:pPr>
        <w:spacing w:after="100"/>
        <w:ind w:left="500" w:hanging="500"/>
      </w:pPr>
      <w:r>
        <w:rPr>
          <w:rFonts w:ascii="Calibri" w:cs="Calibri" w:eastAsia="Calibri" w:hAnsi="Calibri"/>
          <w:sz w:val="22"/>
          <w:szCs w:val="22"/>
        </w:rPr>
        <w:t xml:space="preserve">[13]	</w:t>
      </w:r>
      <w:r>
        <w:rPr>
          <w:rFonts w:ascii="Calibri" w:cs="Calibri" w:eastAsia="Calibri" w:hAnsi="Calibri"/>
          <w:sz w:val="22"/>
          <w:szCs w:val="22"/>
        </w:rPr>
        <w:t xml:space="preserve">R. Sahoo and S. Karmakar, “Investigation of electrical tree growth characteristics and partial discharge pattern analysis using deep neural network,” </w:t>
      </w:r>
      <w:r>
        <w:rPr>
          <w:rFonts w:ascii="Calibri" w:cs="Calibri" w:eastAsia="Calibri" w:hAnsi="Calibri"/>
          <w:i/>
          <w:iCs/>
          <w:sz w:val="22"/>
          <w:szCs w:val="22"/>
        </w:rPr>
        <w:t xml:space="preserve">Electr. Power Syst. Res.</w:t>
      </w:r>
      <w:r>
        <w:rPr>
          <w:rFonts w:ascii="Calibri" w:cs="Calibri" w:eastAsia="Calibri" w:hAnsi="Calibri"/>
          <w:sz w:val="22"/>
          <w:szCs w:val="22"/>
        </w:rPr>
        <w:t xml:space="preserve">, vol. 220, 109287, 2023.</w:t>
      </w:r>
      <w:r>
        <w:rPr>
          <w:rFonts w:ascii="Calibri" w:cs="Calibri" w:eastAsia="Calibri" w:hAnsi="Calibri"/>
          <w:sz w:val="22"/>
          <w:szCs w:val="22"/>
        </w:rPr>
        <w:t xml:space="preserve"> </w:t>
      </w:r>
      <w:hyperlink w:history="1" r:id="rIdhpnp8zdthmortfvopo_5e">
        <w:r>
          <w:rPr>
            <w:rStyle w:val="Hyperlink"/>
            <w:rFonts w:ascii="Calibri" w:cs="Calibri" w:eastAsia="Calibri" w:hAnsi="Calibri"/>
            <w:sz w:val="22"/>
            <w:szCs w:val="22"/>
          </w:rPr>
          <w:t xml:space="preserve">https://doi.org/10.1016/j.epsr.2023.109287</w:t>
        </w:r>
      </w:hyperlink>
    </w:p>
    <w:p>
      <w:pPr>
        <w:spacing w:after="100"/>
        <w:ind w:left="500" w:hanging="500"/>
      </w:pPr>
      <w:r>
        <w:rPr>
          <w:rFonts w:ascii="Calibri" w:cs="Calibri" w:eastAsia="Calibri" w:hAnsi="Calibri"/>
          <w:sz w:val="22"/>
          <w:szCs w:val="22"/>
        </w:rPr>
        <w:t xml:space="preserve">[14]	</w:t>
      </w:r>
      <w:r>
        <w:rPr>
          <w:rFonts w:ascii="Calibri" w:cs="Calibri" w:eastAsia="Calibri" w:hAnsi="Calibri"/>
          <w:sz w:val="22"/>
          <w:szCs w:val="22"/>
        </w:rPr>
        <w:t xml:space="preserve">Y. Wang, J. Wu, T. Han, K. Haran, and Y. Yin, “Insulation condition forewarning of form-wound winding for electric aircraft propulsion based on partial discharge and deep learning neural network,” </w:t>
      </w:r>
      <w:r>
        <w:rPr>
          <w:rFonts w:ascii="Calibri" w:cs="Calibri" w:eastAsia="Calibri" w:hAnsi="Calibri"/>
          <w:i/>
          <w:iCs/>
          <w:sz w:val="22"/>
          <w:szCs w:val="22"/>
        </w:rPr>
        <w:t xml:space="preserve">High Voltage</w:t>
      </w:r>
      <w:r>
        <w:rPr>
          <w:rFonts w:ascii="Calibri" w:cs="Calibri" w:eastAsia="Calibri" w:hAnsi="Calibri"/>
          <w:sz w:val="22"/>
          <w:szCs w:val="22"/>
        </w:rPr>
        <w:t xml:space="preserve">, vol. 6, no. 2, pp. 302–313, 2021.</w:t>
      </w:r>
      <w:r>
        <w:rPr>
          <w:rFonts w:ascii="Calibri" w:cs="Calibri" w:eastAsia="Calibri" w:hAnsi="Calibri"/>
          <w:sz w:val="22"/>
          <w:szCs w:val="22"/>
        </w:rPr>
        <w:t xml:space="preserve"> </w:t>
      </w:r>
      <w:hyperlink w:history="1" r:id="rIdbxyvvyv9uzoovi3f91fsc">
        <w:r>
          <w:rPr>
            <w:rStyle w:val="Hyperlink"/>
            <w:rFonts w:ascii="Calibri" w:cs="Calibri" w:eastAsia="Calibri" w:hAnsi="Calibri"/>
            <w:sz w:val="22"/>
            <w:szCs w:val="22"/>
          </w:rPr>
          <w:t xml:space="preserve">https://doi.org/10.1049/hve2.12034</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g32-jockp0tem8kdwzc0" Type="http://schemas.openxmlformats.org/officeDocument/2006/relationships/hyperlink" Target="https://doi.org/10.1109/94.469976" TargetMode="External"/><Relationship Id="rIdzijhoco-5ok6kebmiorji" Type="http://schemas.openxmlformats.org/officeDocument/2006/relationships/hyperlink" Target="https://doi.org/10.1109/14.249372" TargetMode="External"/><Relationship Id="rIdgrqhqobs9jtgiqfkatpsc" Type="http://schemas.openxmlformats.org/officeDocument/2006/relationships/hyperlink" Target="https://doi.org/10.3390/en17051142" TargetMode="External"/><Relationship Id="rIdmb8i9_z358fhy2qc3mb7i" Type="http://schemas.openxmlformats.org/officeDocument/2006/relationships/hyperlink" Target="https://doi.org/10.1016/j.epsr.2021.107105" TargetMode="External"/><Relationship Id="rIdsjauh5rkq7xycqwhokil1" Type="http://schemas.openxmlformats.org/officeDocument/2006/relationships/hyperlink" Target="https://doi.org/10.3390/s24082660" TargetMode="External"/><Relationship Id="rIdd3wve6tz6q85-egb3y1xq" Type="http://schemas.openxmlformats.org/officeDocument/2006/relationships/hyperlink" Target="https://doi.org/10.3390/s24113460" TargetMode="External"/><Relationship Id="rIdgb0lmxpqcefvg236mf6mv" Type="http://schemas.openxmlformats.org/officeDocument/2006/relationships/hyperlink" Target="https://doi.org/10.1371/journal.pone.0170111" TargetMode="External"/><Relationship Id="rIdtsmdi5vdcbtj_o32wvljh" Type="http://schemas.openxmlformats.org/officeDocument/2006/relationships/hyperlink" Target="https://doi.org/10.1109/TPWRD.2019.2906086" TargetMode="External"/><Relationship Id="rIdaihxg0j2sax8pf4pjo-po" Type="http://schemas.openxmlformats.org/officeDocument/2006/relationships/hyperlink" Target="https://doi.org/10.3390/en11051202" TargetMode="External"/><Relationship Id="rIdo40xghg1kll1f3irgequj" Type="http://schemas.openxmlformats.org/officeDocument/2006/relationships/hyperlink" Target="https://doi.org/10.3390/pr13030852" TargetMode="External"/><Relationship Id="rIdhpnp8zdthmortfvopo_5e" Type="http://schemas.openxmlformats.org/officeDocument/2006/relationships/hyperlink" Target="https://doi.org/10.1016/j.epsr.2023.109287" TargetMode="External"/><Relationship Id="rIdbxyvvyv9uzoovi3f91fsc" Type="http://schemas.openxmlformats.org/officeDocument/2006/relationships/hyperlink" Target="https://doi.org/10.1049/hve2.12034" TargetMode="External"/><Relationship Id="rId8" Type="http://schemas.openxmlformats.org/officeDocument/2006/relationships/image" Target="media/a6738b88118c3c744d4216cf0e1b1eb71900e80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2026-10-05T15:59:08.594Z</dcterms:created>
  <dcterms:modified xsi:type="dcterms:W3CDTF">2026-10-05T15:59:08.601Z</dcterms:modified>
</cp:coreProperties>
</file>

<file path=docProps/custom.xml><?xml version="1.0" encoding="utf-8"?>
<Properties xmlns="http://schemas.openxmlformats.org/officeDocument/2006/custom-properties" xmlns:vt="http://schemas.openxmlformats.org/officeDocument/2006/docPropsVTypes"/>
</file>