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小麦赤霉病防治技术</w:t>
      </w:r>
    </w:p>
    <w:p>
      <w:r>
        <w:t>适用对象：小麦种植地块；重点防范抽穗扬花期连阴雨。</w:t>
      </w:r>
    </w:p>
    <w:p>
      <w:pPr>
        <w:pStyle w:val="Heading2"/>
      </w:pPr>
      <w:r>
        <w:t>一、症状与风险</w:t>
      </w:r>
    </w:p>
    <w:p>
      <w:r>
        <w:t>小麦赤霉病主要危害麦穗，初期小穗基部出现水渍状褐斑，随后整个小穗枯黄，潮湿时病部产生粉红色霉层。病粒含有毒素，会降低品质和售价。</w:t>
      </w:r>
    </w:p>
    <w:p>
      <w:r>
        <w:t>抽穗扬花期遇连续 2–3 天以上阴雨、相对湿度大于 80%，赤霉病流行风险明显升高。</w:t>
      </w:r>
    </w:p>
    <w:p>
      <w:pPr>
        <w:pStyle w:val="Heading2"/>
      </w:pPr>
      <w:r>
        <w:t>二、防治窗口</w:t>
      </w:r>
    </w:p>
    <w:p>
      <w:r>
        <w:t>坚持“见花打药、雨前抢打、雨后补打”。最佳施药期为小麦扬花初期，遇连阴雨可在雨前提前施药，雨后及时补施。</w:t>
      </w:r>
    </w:p>
    <w:p>
      <w:pPr>
        <w:pStyle w:val="Heading2"/>
      </w:pPr>
      <w:r>
        <w:t>三、药剂与操作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防治时期</w:t>
            </w:r>
          </w:p>
        </w:tc>
        <w:tc>
          <w:tcPr>
            <w:tcW w:type="dxa" w:w="2880"/>
          </w:tcPr>
          <w:p>
            <w:r>
              <w:t>推荐药剂</w:t>
            </w:r>
          </w:p>
        </w:tc>
        <w:tc>
          <w:tcPr>
            <w:tcW w:type="dxa" w:w="2880"/>
          </w:tcPr>
          <w:p>
            <w:r>
              <w:t>注意事项</w:t>
            </w:r>
          </w:p>
        </w:tc>
      </w:tr>
      <w:tr>
        <w:tc>
          <w:tcPr>
            <w:tcW w:type="dxa" w:w="2880"/>
          </w:tcPr>
          <w:p>
            <w:r>
              <w:t>扬花初期</w:t>
            </w:r>
          </w:p>
        </w:tc>
        <w:tc>
          <w:tcPr>
            <w:tcW w:type="dxa" w:w="2880"/>
          </w:tcPr>
          <w:p>
            <w:r>
              <w:t>氰烯菌酯、戊唑醇、咪鲜胺等</w:t>
            </w:r>
          </w:p>
        </w:tc>
        <w:tc>
          <w:tcPr>
            <w:tcW w:type="dxa" w:w="2880"/>
          </w:tcPr>
          <w:p>
            <w:r>
              <w:t>按标签剂量，轮换用药</w:t>
            </w:r>
          </w:p>
        </w:tc>
      </w:tr>
      <w:tr>
        <w:tc>
          <w:tcPr>
            <w:tcW w:type="dxa" w:w="2880"/>
          </w:tcPr>
          <w:p>
            <w:r>
              <w:t>雨后补施</w:t>
            </w:r>
          </w:p>
        </w:tc>
        <w:tc>
          <w:tcPr>
            <w:tcW w:type="dxa" w:w="2880"/>
          </w:tcPr>
          <w:p>
            <w:r>
              <w:t>戊唑醇或复配制剂</w:t>
            </w:r>
          </w:p>
        </w:tc>
        <w:tc>
          <w:tcPr>
            <w:tcW w:type="dxa" w:w="2880"/>
          </w:tcPr>
          <w:p>
            <w:r>
              <w:t>雨后 24 小时内尽快补施</w:t>
            </w:r>
          </w:p>
        </w:tc>
      </w:tr>
    </w:tbl>
    <w:p>
      <w:r>
        <w:t>施药时保证雾滴均匀，重点喷施穗部。小麦收获前遵守安全间隔期。病残体和秸秆应集中处理，避免菌源积累。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