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6A6597" w14:textId="3648A1B9" w:rsidR="00904A22" w:rsidRDefault="00906196">
      <w:pPr>
        <w:pStyle w:val="Title"/>
        <w:spacing w:after="0" w:line="360" w:lineRule="auto"/>
        <w:rPr>
          <w:rFonts w:ascii="Arial" w:hAnsi="Arial" w:cs="Arial"/>
          <w:b/>
          <w:bCs/>
          <w:sz w:val="22"/>
          <w:szCs w:val="22"/>
        </w:rPr>
      </w:pPr>
      <w:r>
        <w:rPr>
          <w:rFonts w:ascii="Arial" w:hAnsi="Arial" w:cs="Arial"/>
          <w:b/>
          <w:bCs/>
          <w:sz w:val="22"/>
          <w:szCs w:val="22"/>
        </w:rPr>
        <w:t>The Effects of type and token frequency on generalizations</w:t>
      </w:r>
    </w:p>
    <w:p w14:paraId="79C84099" w14:textId="77777777" w:rsidR="00904A22" w:rsidRDefault="00904A22">
      <w:pPr>
        <w:pStyle w:val="BodyText"/>
        <w:spacing w:before="0" w:after="0"/>
      </w:pPr>
    </w:p>
    <w:tbl>
      <w:tblPr>
        <w:tblStyle w:val="Table"/>
        <w:tblW w:w="9064" w:type="dxa"/>
        <w:tblInd w:w="0" w:type="dxa"/>
        <w:tblLayout w:type="fixed"/>
        <w:tblLook w:val="0000" w:firstRow="0" w:lastRow="0" w:firstColumn="0" w:lastColumn="0" w:noHBand="0" w:noVBand="0"/>
      </w:tblPr>
      <w:tblGrid>
        <w:gridCol w:w="9064"/>
      </w:tblGrid>
      <w:tr w:rsidR="00904A22" w14:paraId="3D25BADC" w14:textId="77777777" w:rsidTr="00904A22">
        <w:tc>
          <w:tcPr>
            <w:tcW w:w="9064" w:type="dxa"/>
          </w:tcPr>
          <w:p w14:paraId="12631942" w14:textId="29000FD3" w:rsidR="00904A22" w:rsidRPr="00906196" w:rsidRDefault="00000000">
            <w:pPr>
              <w:spacing w:after="200" w:line="360" w:lineRule="auto"/>
              <w:contextualSpacing/>
              <w:jc w:val="center"/>
              <w:rPr>
                <w:rFonts w:ascii="Arial" w:hAnsi="Arial" w:cs="Arial"/>
                <w:sz w:val="22"/>
                <w:szCs w:val="22"/>
                <w:vertAlign w:val="superscript"/>
              </w:rPr>
            </w:pPr>
            <w:r>
              <w:rPr>
                <w:rFonts w:ascii="Arial" w:eastAsia="Yu Mincho" w:hAnsi="Arial" w:cs="Arial"/>
                <w:kern w:val="0"/>
                <w:sz w:val="22"/>
                <w:szCs w:val="22"/>
                <w:lang w:eastAsia="zh-CN"/>
              </w:rPr>
              <w:t>Corresponding Author (</w:t>
            </w:r>
            <w:r w:rsidR="00906196">
              <w:rPr>
                <w:rFonts w:ascii="Arial" w:eastAsia="Yu Mincho" w:hAnsi="Arial" w:cs="Arial"/>
                <w:kern w:val="0"/>
                <w:sz w:val="22"/>
                <w:szCs w:val="22"/>
                <w:lang w:eastAsia="zh-CN"/>
              </w:rPr>
              <w:t>znh</w:t>
            </w:r>
            <w:r>
              <w:rPr>
                <w:rFonts w:ascii="Arial" w:eastAsia="Yu Mincho" w:hAnsi="Arial" w:cs="Arial"/>
                <w:kern w:val="0"/>
                <w:sz w:val="22"/>
                <w:szCs w:val="22"/>
                <w:lang w:eastAsia="zh-CN"/>
              </w:rPr>
              <w:t>@</w:t>
            </w:r>
            <w:r w:rsidR="00906196">
              <w:rPr>
                <w:rFonts w:ascii="Arial" w:eastAsia="Yu Mincho" w:hAnsi="Arial" w:cs="Arial"/>
                <w:kern w:val="0"/>
                <w:sz w:val="22"/>
                <w:szCs w:val="22"/>
                <w:lang w:eastAsia="zh-CN"/>
              </w:rPr>
              <w:t>uoregon.edu</w:t>
            </w:r>
            <w:r>
              <w:rPr>
                <w:rFonts w:ascii="Arial" w:eastAsia="Yu Mincho" w:hAnsi="Arial" w:cs="Arial"/>
                <w:kern w:val="0"/>
                <w:sz w:val="22"/>
                <w:szCs w:val="22"/>
                <w:lang w:eastAsia="zh-CN"/>
              </w:rPr>
              <w:t>)</w:t>
            </w:r>
            <w:r>
              <w:rPr>
                <w:rFonts w:ascii="Arial" w:eastAsia="Yu Mincho" w:hAnsi="Arial" w:cs="Arial"/>
                <w:kern w:val="0"/>
                <w:sz w:val="22"/>
                <w:szCs w:val="22"/>
                <w:vertAlign w:val="superscript"/>
                <w:lang w:eastAsia="zh-CN"/>
              </w:rPr>
              <w:t>1</w:t>
            </w:r>
            <w:r>
              <w:rPr>
                <w:rFonts w:ascii="Arial" w:eastAsia="Yu Mincho" w:hAnsi="Arial" w:cs="Arial"/>
                <w:kern w:val="0"/>
                <w:sz w:val="22"/>
                <w:szCs w:val="22"/>
                <w:lang w:eastAsia="zh-CN"/>
              </w:rPr>
              <w:t xml:space="preserve">, </w:t>
            </w:r>
            <w:r w:rsidR="00906196">
              <w:rPr>
                <w:rFonts w:ascii="Arial" w:eastAsia="Yu Mincho" w:hAnsi="Arial" w:cs="Arial"/>
                <w:kern w:val="0"/>
                <w:sz w:val="22"/>
                <w:szCs w:val="22"/>
                <w:lang w:eastAsia="zh-CN"/>
              </w:rPr>
              <w:t>Zachary Nicholas Houghton</w:t>
            </w:r>
            <w:r>
              <w:rPr>
                <w:rFonts w:ascii="Arial" w:eastAsia="Yu Mincho" w:hAnsi="Arial" w:cs="Arial"/>
                <w:kern w:val="0"/>
                <w:sz w:val="22"/>
                <w:szCs w:val="22"/>
                <w:vertAlign w:val="superscript"/>
                <w:lang w:eastAsia="zh-CN"/>
              </w:rPr>
              <w:t>1</w:t>
            </w:r>
            <w:r w:rsidR="00906196">
              <w:rPr>
                <w:rFonts w:ascii="Arial" w:eastAsia="Yu Mincho" w:hAnsi="Arial" w:cs="Arial"/>
                <w:kern w:val="0"/>
                <w:sz w:val="22"/>
                <w:szCs w:val="22"/>
                <w:vertAlign w:val="superscript"/>
                <w:lang w:eastAsia="zh-CN"/>
              </w:rPr>
              <w:t>,2,3</w:t>
            </w:r>
            <w:r>
              <w:rPr>
                <w:rFonts w:ascii="Arial" w:eastAsia="Yu Mincho" w:hAnsi="Arial" w:cs="Arial"/>
                <w:kern w:val="0"/>
                <w:sz w:val="22"/>
                <w:szCs w:val="22"/>
                <w:lang w:eastAsia="zh-CN"/>
              </w:rPr>
              <w:t xml:space="preserve">, </w:t>
            </w:r>
            <w:r w:rsidR="00906196">
              <w:rPr>
                <w:rFonts w:ascii="Arial" w:eastAsia="Yu Mincho" w:hAnsi="Arial" w:cs="Arial"/>
                <w:kern w:val="0"/>
                <w:sz w:val="22"/>
                <w:szCs w:val="22"/>
                <w:lang w:eastAsia="zh-CN"/>
              </w:rPr>
              <w:t>Zara Harmon</w:t>
            </w:r>
            <w:r w:rsidR="00906196">
              <w:rPr>
                <w:rFonts w:ascii="Arial" w:eastAsia="Yu Mincho" w:hAnsi="Arial" w:cs="Arial"/>
                <w:kern w:val="0"/>
                <w:sz w:val="22"/>
                <w:szCs w:val="22"/>
                <w:vertAlign w:val="superscript"/>
                <w:lang w:eastAsia="zh-CN"/>
              </w:rPr>
              <w:t>4</w:t>
            </w:r>
            <w:r w:rsidR="00906196">
              <w:rPr>
                <w:rFonts w:ascii="Arial" w:eastAsia="Yu Mincho" w:hAnsi="Arial" w:cs="Arial"/>
                <w:kern w:val="0"/>
                <w:sz w:val="22"/>
                <w:szCs w:val="22"/>
                <w:lang w:eastAsia="zh-CN"/>
              </w:rPr>
              <w:t>, Vsevolod Kapatsinski</w:t>
            </w:r>
            <w:r w:rsidR="00906196">
              <w:rPr>
                <w:rFonts w:ascii="Arial" w:eastAsia="Yu Mincho" w:hAnsi="Arial" w:cs="Arial"/>
                <w:kern w:val="0"/>
                <w:sz w:val="22"/>
                <w:szCs w:val="22"/>
                <w:vertAlign w:val="superscript"/>
                <w:lang w:eastAsia="zh-CN"/>
              </w:rPr>
              <w:t>1</w:t>
            </w:r>
          </w:p>
          <w:p w14:paraId="0D1D6E86" w14:textId="51DBE8C2" w:rsidR="00904A22" w:rsidRPr="00906196" w:rsidRDefault="00000000">
            <w:pPr>
              <w:spacing w:after="200" w:line="360" w:lineRule="auto"/>
              <w:contextualSpacing/>
              <w:jc w:val="center"/>
              <w:rPr>
                <w:rFonts w:ascii="Arial" w:hAnsi="Arial" w:cs="Arial"/>
                <w:sz w:val="22"/>
                <w:szCs w:val="22"/>
              </w:rPr>
            </w:pPr>
            <w:r>
              <w:rPr>
                <w:rFonts w:ascii="Arial" w:eastAsia="Yu Mincho" w:hAnsi="Arial" w:cs="Arial"/>
                <w:kern w:val="0"/>
                <w:sz w:val="22"/>
                <w:szCs w:val="22"/>
                <w:vertAlign w:val="superscript"/>
                <w:lang w:eastAsia="zh-CN"/>
              </w:rPr>
              <w:t>1</w:t>
            </w:r>
            <w:r>
              <w:rPr>
                <w:rFonts w:ascii="Arial" w:eastAsia="Yu Mincho" w:hAnsi="Arial" w:cs="Arial"/>
                <w:kern w:val="0"/>
                <w:sz w:val="22"/>
                <w:szCs w:val="22"/>
                <w:lang w:eastAsia="zh-CN"/>
              </w:rPr>
              <w:t xml:space="preserve">Department of </w:t>
            </w:r>
            <w:r w:rsidR="00906196">
              <w:rPr>
                <w:rFonts w:ascii="Arial" w:eastAsia="Yu Mincho" w:hAnsi="Arial" w:cs="Arial"/>
                <w:kern w:val="0"/>
                <w:sz w:val="22"/>
                <w:szCs w:val="22"/>
                <w:lang w:eastAsia="zh-CN"/>
              </w:rPr>
              <w:t>Linguistics</w:t>
            </w:r>
            <w:r>
              <w:rPr>
                <w:rFonts w:ascii="Arial" w:eastAsia="Yu Mincho" w:hAnsi="Arial" w:cs="Arial"/>
                <w:kern w:val="0"/>
                <w:sz w:val="22"/>
                <w:szCs w:val="22"/>
                <w:lang w:eastAsia="zh-CN"/>
              </w:rPr>
              <w:t xml:space="preserve">, </w:t>
            </w:r>
            <w:r w:rsidR="00906196">
              <w:rPr>
                <w:rFonts w:ascii="Arial" w:eastAsia="Yu Mincho" w:hAnsi="Arial" w:cs="Arial"/>
                <w:kern w:val="0"/>
                <w:sz w:val="22"/>
                <w:szCs w:val="22"/>
                <w:lang w:eastAsia="zh-CN"/>
              </w:rPr>
              <w:t>University of Oregon</w:t>
            </w:r>
            <w:r>
              <w:rPr>
                <w:rFonts w:ascii="Arial" w:eastAsia="Yu Mincho" w:hAnsi="Arial" w:cs="Arial"/>
                <w:kern w:val="0"/>
                <w:sz w:val="22"/>
                <w:szCs w:val="22"/>
                <w:lang w:eastAsia="zh-CN"/>
              </w:rPr>
              <w:t xml:space="preserve">, </w:t>
            </w:r>
            <w:r w:rsidR="00614D17">
              <w:rPr>
                <w:rFonts w:ascii="Arial" w:eastAsia="Yu Mincho" w:hAnsi="Arial" w:cs="Arial"/>
                <w:kern w:val="0"/>
                <w:sz w:val="22"/>
                <w:szCs w:val="22"/>
                <w:vertAlign w:val="superscript"/>
                <w:lang w:eastAsia="zh-CN"/>
              </w:rPr>
              <w:t>2</w:t>
            </w:r>
            <w:r w:rsidR="00906196">
              <w:rPr>
                <w:rFonts w:ascii="Arial" w:eastAsia="Yu Mincho" w:hAnsi="Arial" w:cs="Arial"/>
                <w:kern w:val="0"/>
                <w:sz w:val="22"/>
                <w:szCs w:val="22"/>
                <w:lang w:eastAsia="zh-CN"/>
              </w:rPr>
              <w:t xml:space="preserve">Department of Linguistics, University of </w:t>
            </w:r>
            <w:r w:rsidR="00906196">
              <w:rPr>
                <w:rFonts w:ascii="Arial" w:eastAsia="Yu Mincho" w:hAnsi="Arial" w:cs="Arial"/>
                <w:kern w:val="0"/>
                <w:sz w:val="22"/>
                <w:szCs w:val="22"/>
                <w:lang w:eastAsia="zh-CN"/>
              </w:rPr>
              <w:t xml:space="preserve">California, Davis, </w:t>
            </w:r>
            <w:r w:rsidR="00906196">
              <w:rPr>
                <w:rFonts w:ascii="Arial" w:eastAsia="Yu Mincho" w:hAnsi="Arial" w:cs="Arial"/>
                <w:kern w:val="0"/>
                <w:sz w:val="22"/>
                <w:szCs w:val="22"/>
                <w:vertAlign w:val="superscript"/>
                <w:lang w:eastAsia="zh-CN"/>
              </w:rPr>
              <w:t>3</w:t>
            </w:r>
            <w:r w:rsidR="00906196">
              <w:rPr>
                <w:rFonts w:ascii="Arial" w:eastAsia="Yu Mincho" w:hAnsi="Arial" w:cs="Arial"/>
                <w:kern w:val="0"/>
                <w:sz w:val="22"/>
                <w:szCs w:val="22"/>
                <w:lang w:eastAsia="zh-CN"/>
              </w:rPr>
              <w:t>Vail Systems</w:t>
            </w:r>
            <w:r w:rsidR="00906196">
              <w:rPr>
                <w:rFonts w:ascii="Arial" w:hAnsi="Arial" w:cs="Arial"/>
                <w:sz w:val="22"/>
                <w:szCs w:val="22"/>
              </w:rPr>
              <w:t xml:space="preserve">, Inc., </w:t>
            </w:r>
            <w:r w:rsidR="00906196">
              <w:rPr>
                <w:rFonts w:ascii="Arial" w:hAnsi="Arial" w:cs="Arial"/>
                <w:sz w:val="22"/>
                <w:szCs w:val="22"/>
                <w:vertAlign w:val="superscript"/>
              </w:rPr>
              <w:t>4</w:t>
            </w:r>
            <w:r w:rsidR="00906196">
              <w:rPr>
                <w:rFonts w:ascii="Arial" w:hAnsi="Arial" w:cs="Arial"/>
                <w:sz w:val="22"/>
                <w:szCs w:val="22"/>
              </w:rPr>
              <w:t>Max Planck Institute for Psycholinguistics</w:t>
            </w:r>
          </w:p>
        </w:tc>
      </w:tr>
    </w:tbl>
    <w:p w14:paraId="7458AF9C" w14:textId="450682FC" w:rsidR="00906196" w:rsidRDefault="00906196">
      <w:pPr>
        <w:pStyle w:val="BodyText"/>
        <w:spacing w:before="0" w:after="0" w:line="360" w:lineRule="auto"/>
        <w:contextualSpacing/>
        <w:rPr>
          <w:rFonts w:ascii="Arial" w:hAnsi="Arial" w:cs="Arial"/>
          <w:sz w:val="22"/>
          <w:szCs w:val="22"/>
        </w:rPr>
      </w:pPr>
      <w:r>
        <w:rPr>
          <w:rFonts w:ascii="Arial" w:hAnsi="Arial" w:cs="Arial"/>
          <w:sz w:val="22"/>
          <w:szCs w:val="22"/>
        </w:rPr>
        <w:t xml:space="preserve">Learning is crucial for adapting to novel environments. Language learning is no different: the ability to use language beyond the exact contexts in which it is learned is crucial. As such, linguistic generalizations have been discussed and debated for </w:t>
      </w:r>
      <w:r w:rsidR="00DC2810">
        <w:rPr>
          <w:rFonts w:ascii="Arial" w:hAnsi="Arial" w:cs="Arial"/>
          <w:sz w:val="22"/>
          <w:szCs w:val="22"/>
        </w:rPr>
        <w:t>greatly</w:t>
      </w:r>
      <w:r>
        <w:rPr>
          <w:rFonts w:ascii="Arial" w:hAnsi="Arial" w:cs="Arial"/>
          <w:sz w:val="22"/>
          <w:szCs w:val="22"/>
        </w:rPr>
        <w:t xml:space="preserve"> [1].</w:t>
      </w:r>
    </w:p>
    <w:p w14:paraId="24638DEB" w14:textId="2D351747" w:rsidR="00906196" w:rsidRDefault="00906196">
      <w:pPr>
        <w:pStyle w:val="BodyText"/>
        <w:spacing w:before="0" w:after="0" w:line="360" w:lineRule="auto"/>
        <w:contextualSpacing/>
        <w:rPr>
          <w:rFonts w:ascii="Arial" w:hAnsi="Arial" w:cs="Arial"/>
          <w:sz w:val="22"/>
          <w:szCs w:val="22"/>
        </w:rPr>
      </w:pPr>
      <w:r>
        <w:rPr>
          <w:rFonts w:ascii="Arial" w:hAnsi="Arial" w:cs="Arial"/>
          <w:sz w:val="22"/>
          <w:szCs w:val="22"/>
        </w:rPr>
        <w:tab/>
        <w:t>Linguistic generalizations can take various different forms. For example, language learners crucially must learn to generalize a form to novel contexts</w:t>
      </w:r>
      <w:r w:rsidR="005E08BE">
        <w:rPr>
          <w:rFonts w:ascii="Arial" w:hAnsi="Arial" w:cs="Arial"/>
          <w:sz w:val="22"/>
          <w:szCs w:val="22"/>
        </w:rPr>
        <w:t xml:space="preserve"> [</w:t>
      </w:r>
      <w:r w:rsidR="005276F4">
        <w:rPr>
          <w:rFonts w:ascii="Arial" w:hAnsi="Arial" w:cs="Arial"/>
          <w:sz w:val="22"/>
          <w:szCs w:val="22"/>
        </w:rPr>
        <w:t>2</w:t>
      </w:r>
      <w:r w:rsidR="00DC2810">
        <w:rPr>
          <w:rFonts w:ascii="Arial" w:hAnsi="Arial" w:cs="Arial"/>
          <w:sz w:val="22"/>
          <w:szCs w:val="22"/>
        </w:rPr>
        <w:t>]</w:t>
      </w:r>
      <w:r>
        <w:rPr>
          <w:rFonts w:ascii="Arial" w:hAnsi="Arial" w:cs="Arial"/>
          <w:sz w:val="22"/>
          <w:szCs w:val="22"/>
        </w:rPr>
        <w:t xml:space="preserve">. </w:t>
      </w:r>
      <w:r w:rsidR="005E08BE">
        <w:rPr>
          <w:rFonts w:ascii="Arial" w:hAnsi="Arial" w:cs="Arial"/>
          <w:sz w:val="22"/>
          <w:szCs w:val="22"/>
        </w:rPr>
        <w:t>Linguistic productivity has been demonstrated to be driven by accessibility: both type frequency and token frequency lead to increased probability of a form being used in a novel context</w:t>
      </w:r>
      <w:r w:rsidR="000C5CF2">
        <w:rPr>
          <w:rFonts w:ascii="Arial" w:hAnsi="Arial" w:cs="Arial"/>
          <w:sz w:val="22"/>
          <w:szCs w:val="22"/>
        </w:rPr>
        <w:t xml:space="preserve"> [3]</w:t>
      </w:r>
      <w:r w:rsidR="005E08BE">
        <w:rPr>
          <w:rFonts w:ascii="Arial" w:hAnsi="Arial" w:cs="Arial"/>
          <w:sz w:val="22"/>
          <w:szCs w:val="22"/>
        </w:rPr>
        <w:t>.</w:t>
      </w:r>
    </w:p>
    <w:p w14:paraId="1FF38F78" w14:textId="1455003C" w:rsidR="00906196" w:rsidRDefault="00906196">
      <w:pPr>
        <w:pStyle w:val="BodyText"/>
        <w:spacing w:before="0" w:after="0" w:line="360" w:lineRule="auto"/>
        <w:contextualSpacing/>
        <w:rPr>
          <w:rFonts w:ascii="Arial" w:hAnsi="Arial" w:cs="Arial"/>
          <w:sz w:val="22"/>
          <w:szCs w:val="22"/>
        </w:rPr>
      </w:pPr>
      <w:r>
        <w:rPr>
          <w:rFonts w:ascii="Arial" w:hAnsi="Arial" w:cs="Arial"/>
          <w:sz w:val="22"/>
          <w:szCs w:val="22"/>
        </w:rPr>
        <w:tab/>
        <w:t xml:space="preserve">Beyond linguistic productivity, it is perhaps equally as important to be able to generalize a word’s </w:t>
      </w:r>
      <w:r w:rsidRPr="00906196">
        <w:rPr>
          <w:rFonts w:ascii="Arial" w:hAnsi="Arial" w:cs="Arial"/>
          <w:i/>
          <w:iCs/>
          <w:sz w:val="22"/>
          <w:szCs w:val="22"/>
        </w:rPr>
        <w:t>meaning</w:t>
      </w:r>
      <w:r>
        <w:rPr>
          <w:rFonts w:ascii="Arial" w:hAnsi="Arial" w:cs="Arial"/>
          <w:sz w:val="22"/>
          <w:szCs w:val="22"/>
        </w:rPr>
        <w:t xml:space="preserve"> beyond the context it is learned in. For example, one has to learn that the one-eyed, pirate cat that wanders the neighborhood is still a cat, despite the fact that a learner may never have encountered a one-eyed cat before. </w:t>
      </w:r>
    </w:p>
    <w:p w14:paraId="618E6104" w14:textId="2BA9CC39" w:rsidR="005E08BE" w:rsidRDefault="005E08BE">
      <w:pPr>
        <w:pStyle w:val="BodyText"/>
        <w:spacing w:before="0" w:after="0" w:line="360" w:lineRule="auto"/>
        <w:contextualSpacing/>
        <w:rPr>
          <w:rFonts w:ascii="Arial" w:hAnsi="Arial" w:cs="Arial"/>
          <w:sz w:val="22"/>
          <w:szCs w:val="22"/>
        </w:rPr>
      </w:pPr>
      <w:r>
        <w:rPr>
          <w:rFonts w:ascii="Arial" w:hAnsi="Arial" w:cs="Arial"/>
          <w:sz w:val="22"/>
          <w:szCs w:val="22"/>
        </w:rPr>
        <w:tab/>
        <w:t xml:space="preserve">It is unclear, however, whether generalizations are driven by the same factors or whether different types of generalizations are driven by different factors. For example, it is possible that linguistic productivity and semantic extension are both driven by accessibility. The present study investigates this by deploying an artificial language learning experiment in which type and token frequency of different suffixes are manipulated (Figure 1). Specifically, two suffixes are taught to correspond to the “big plural” (several big creatures) meaning, while two alternative suffixes are taught to correspond to the “diminutive singular” (a single small creature) meaning. In training, each of these suffixes is paired with various creatures. We manipulate the number of creatures each suffix occurs with (a token-frequency manipulation) as well as the number of different </w:t>
      </w:r>
      <w:r>
        <w:rPr>
          <w:rFonts w:ascii="Arial" w:hAnsi="Arial" w:cs="Arial"/>
          <w:i/>
          <w:iCs/>
          <w:sz w:val="22"/>
          <w:szCs w:val="22"/>
        </w:rPr>
        <w:t xml:space="preserve">types </w:t>
      </w:r>
      <w:r>
        <w:rPr>
          <w:rFonts w:ascii="Arial" w:hAnsi="Arial" w:cs="Arial"/>
          <w:sz w:val="22"/>
          <w:szCs w:val="22"/>
        </w:rPr>
        <w:t>of creatures each suffix occurs with (a type-frequency manipulation).</w:t>
      </w:r>
      <w:r w:rsidR="003D7D69">
        <w:rPr>
          <w:rFonts w:ascii="Arial" w:hAnsi="Arial" w:cs="Arial"/>
          <w:sz w:val="22"/>
          <w:szCs w:val="22"/>
        </w:rPr>
        <w:t xml:space="preserve"> In testing, we examine how learners extend these suffixes to a novel meaning (diminutive plural) which is partially compatible with each suffix.</w:t>
      </w:r>
      <w:r>
        <w:rPr>
          <w:rFonts w:ascii="Arial" w:hAnsi="Arial" w:cs="Arial"/>
          <w:sz w:val="22"/>
          <w:szCs w:val="22"/>
        </w:rPr>
        <w:t xml:space="preserve"> Additionally, some creatures are seen in training while others are not, thus contexts can be novel in stem or novel in meaning</w:t>
      </w:r>
      <w:r w:rsidR="00E15B73">
        <w:rPr>
          <w:rFonts w:ascii="Arial" w:hAnsi="Arial" w:cs="Arial"/>
          <w:sz w:val="22"/>
          <w:szCs w:val="22"/>
        </w:rPr>
        <w:t>. We tested participants in production, comprehension, and form-choice.</w:t>
      </w:r>
    </w:p>
    <w:p w14:paraId="6D077D37" w14:textId="19545ED0" w:rsidR="00B9437F" w:rsidRDefault="005E08BE" w:rsidP="00B9437F">
      <w:pPr>
        <w:pStyle w:val="BodyText"/>
        <w:spacing w:before="0" w:after="0" w:line="360" w:lineRule="auto"/>
        <w:contextualSpacing/>
        <w:rPr>
          <w:rFonts w:ascii="Arial" w:hAnsi="Arial" w:cs="Arial"/>
          <w:sz w:val="22"/>
          <w:szCs w:val="22"/>
        </w:rPr>
      </w:pPr>
      <w:r>
        <w:rPr>
          <w:rFonts w:ascii="Arial" w:hAnsi="Arial" w:cs="Arial"/>
          <w:sz w:val="22"/>
          <w:szCs w:val="22"/>
        </w:rPr>
        <w:tab/>
      </w:r>
      <w:r w:rsidR="003D7D69">
        <w:rPr>
          <w:rFonts w:ascii="Arial" w:hAnsi="Arial" w:cs="Arial"/>
          <w:sz w:val="22"/>
          <w:szCs w:val="22"/>
        </w:rPr>
        <w:t>Our results suggest that both type and token frequency</w:t>
      </w:r>
      <w:r w:rsidR="00614D17">
        <w:rPr>
          <w:rFonts w:ascii="Arial" w:hAnsi="Arial" w:cs="Arial"/>
          <w:sz w:val="22"/>
          <w:szCs w:val="22"/>
        </w:rPr>
        <w:t xml:space="preserve"> play a role in semantic extension, suggesting that both semantic extension and linguistic productivity are driven by the same underlying factors </w:t>
      </w:r>
      <w:r w:rsidR="00B9437F">
        <w:rPr>
          <w:rFonts w:ascii="Arial" w:hAnsi="Arial" w:cs="Arial"/>
          <w:sz w:val="22"/>
          <w:szCs w:val="22"/>
        </w:rPr>
        <w:t>(</w:t>
      </w:r>
      <w:r w:rsidR="00614D17">
        <w:rPr>
          <w:rFonts w:ascii="Arial" w:hAnsi="Arial" w:cs="Arial"/>
          <w:sz w:val="22"/>
          <w:szCs w:val="22"/>
        </w:rPr>
        <w:t>Figure</w:t>
      </w:r>
      <w:r w:rsidR="00B9437F">
        <w:rPr>
          <w:rFonts w:ascii="Arial" w:hAnsi="Arial" w:cs="Arial"/>
          <w:sz w:val="22"/>
          <w:szCs w:val="22"/>
        </w:rPr>
        <w:t xml:space="preserve">s </w:t>
      </w:r>
      <w:r w:rsidR="00614D17">
        <w:rPr>
          <w:rFonts w:ascii="Arial" w:hAnsi="Arial" w:cs="Arial"/>
          <w:sz w:val="22"/>
          <w:szCs w:val="22"/>
        </w:rPr>
        <w:t>2</w:t>
      </w:r>
      <w:r w:rsidR="00B9437F">
        <w:rPr>
          <w:rFonts w:ascii="Arial" w:hAnsi="Arial" w:cs="Arial"/>
          <w:sz w:val="22"/>
          <w:szCs w:val="22"/>
        </w:rPr>
        <w:t xml:space="preserve"> and 3)</w:t>
      </w:r>
      <w:r w:rsidR="00614D17">
        <w:rPr>
          <w:rFonts w:ascii="Arial" w:hAnsi="Arial" w:cs="Arial"/>
          <w:sz w:val="22"/>
          <w:szCs w:val="22"/>
        </w:rPr>
        <w:t xml:space="preserve">. Further, logistic perceptron simulations are able to account for the results </w:t>
      </w:r>
      <w:r w:rsidR="00B32C3C">
        <w:rPr>
          <w:rFonts w:ascii="Arial" w:hAnsi="Arial" w:cs="Arial"/>
          <w:sz w:val="22"/>
          <w:szCs w:val="22"/>
        </w:rPr>
        <w:t>fairly</w:t>
      </w:r>
      <w:r w:rsidR="00614D17">
        <w:rPr>
          <w:rFonts w:ascii="Arial" w:hAnsi="Arial" w:cs="Arial"/>
          <w:sz w:val="22"/>
          <w:szCs w:val="22"/>
        </w:rPr>
        <w:t xml:space="preserve"> well</w:t>
      </w:r>
      <w:r w:rsidR="00B32C3C">
        <w:rPr>
          <w:rFonts w:ascii="Arial" w:hAnsi="Arial" w:cs="Arial"/>
          <w:sz w:val="22"/>
          <w:szCs w:val="22"/>
        </w:rPr>
        <w:t xml:space="preserve"> (Figure 4</w:t>
      </w:r>
      <w:proofErr w:type="gramStart"/>
      <w:r w:rsidR="00B32C3C">
        <w:rPr>
          <w:rFonts w:ascii="Arial" w:hAnsi="Arial" w:cs="Arial"/>
          <w:sz w:val="22"/>
          <w:szCs w:val="22"/>
        </w:rPr>
        <w:t>)</w:t>
      </w:r>
      <w:r w:rsidR="00614D17">
        <w:rPr>
          <w:rFonts w:ascii="Arial" w:hAnsi="Arial" w:cs="Arial"/>
          <w:sz w:val="22"/>
          <w:szCs w:val="22"/>
        </w:rPr>
        <w:t>, and</w:t>
      </w:r>
      <w:proofErr w:type="gramEnd"/>
      <w:r w:rsidR="00614D17">
        <w:rPr>
          <w:rFonts w:ascii="Arial" w:hAnsi="Arial" w:cs="Arial"/>
          <w:sz w:val="22"/>
          <w:szCs w:val="22"/>
        </w:rPr>
        <w:t xml:space="preserve"> perform best when semantic cues are more salient than phonological cues, and configural cues are included, suggesting that both may play a role in linguistic generalization.</w:t>
      </w:r>
    </w:p>
    <w:p w14:paraId="1141B31F" w14:textId="638128CF" w:rsidR="00904A22" w:rsidRPr="00B9437F" w:rsidRDefault="00000000" w:rsidP="00B9437F">
      <w:pPr>
        <w:pStyle w:val="BodyText"/>
        <w:spacing w:before="0" w:after="0" w:line="360" w:lineRule="auto"/>
        <w:contextualSpacing/>
        <w:rPr>
          <w:rFonts w:ascii="Arial" w:hAnsi="Arial" w:cs="Arial"/>
          <w:sz w:val="22"/>
          <w:szCs w:val="22"/>
        </w:rPr>
      </w:pPr>
      <w:r>
        <w:rPr>
          <w:rFonts w:ascii="Arial" w:hAnsi="Arial" w:cs="Arial"/>
          <w:b/>
          <w:bCs/>
          <w:sz w:val="22"/>
          <w:szCs w:val="22"/>
        </w:rPr>
        <w:lastRenderedPageBreak/>
        <w:t xml:space="preserve">References </w:t>
      </w:r>
    </w:p>
    <w:p w14:paraId="20817971" w14:textId="45070A1D" w:rsidR="00904A22" w:rsidRDefault="00000000">
      <w:pPr>
        <w:pStyle w:val="NormalWeb"/>
        <w:spacing w:before="280" w:after="280"/>
        <w:rPr>
          <w:rFonts w:ascii="Arial" w:hAnsi="Arial" w:cs="Arial"/>
          <w:sz w:val="22"/>
          <w:szCs w:val="22"/>
        </w:rPr>
      </w:pPr>
      <w:r>
        <w:rPr>
          <w:rFonts w:ascii="Arial" w:hAnsi="Arial" w:cs="Arial"/>
          <w:sz w:val="22"/>
          <w:szCs w:val="22"/>
        </w:rPr>
        <w:t xml:space="preserve">[1] </w:t>
      </w:r>
      <w:r w:rsidR="00DC2810" w:rsidRPr="00DC2810">
        <w:rPr>
          <w:rFonts w:ascii="Arial" w:hAnsi="Arial" w:cs="Arial"/>
          <w:sz w:val="22"/>
          <w:szCs w:val="22"/>
        </w:rPr>
        <w:t xml:space="preserve">Xu, F., &amp; Tenenbaum, J. B. (2007). Word learning </w:t>
      </w:r>
      <w:proofErr w:type="gramStart"/>
      <w:r w:rsidR="00DC2810" w:rsidRPr="00DC2810">
        <w:rPr>
          <w:rFonts w:ascii="Arial" w:hAnsi="Arial" w:cs="Arial"/>
          <w:sz w:val="22"/>
          <w:szCs w:val="22"/>
        </w:rPr>
        <w:t>as</w:t>
      </w:r>
      <w:proofErr w:type="gramEnd"/>
      <w:r w:rsidR="00DC2810" w:rsidRPr="00DC2810">
        <w:rPr>
          <w:rFonts w:ascii="Arial" w:hAnsi="Arial" w:cs="Arial"/>
          <w:sz w:val="22"/>
          <w:szCs w:val="22"/>
        </w:rPr>
        <w:t xml:space="preserve"> Bayesian inference. Psychological review, 114(2), 245.</w:t>
      </w:r>
    </w:p>
    <w:p w14:paraId="3E7221C4" w14:textId="44E4D40D" w:rsidR="00904A22" w:rsidRDefault="00000000">
      <w:pPr>
        <w:pStyle w:val="NormalWeb"/>
        <w:spacing w:before="280" w:after="280"/>
        <w:rPr>
          <w:rFonts w:ascii="Arial" w:hAnsi="Arial" w:cs="Arial"/>
          <w:sz w:val="22"/>
          <w:szCs w:val="22"/>
        </w:rPr>
      </w:pPr>
      <w:r>
        <w:rPr>
          <w:rFonts w:ascii="Arial" w:hAnsi="Arial" w:cs="Arial"/>
          <w:sz w:val="22"/>
          <w:szCs w:val="22"/>
        </w:rPr>
        <w:t xml:space="preserve">[2] </w:t>
      </w:r>
      <w:r w:rsidR="00A64D44" w:rsidRPr="00A64D44">
        <w:rPr>
          <w:rFonts w:ascii="Arial" w:hAnsi="Arial" w:cs="Arial"/>
          <w:sz w:val="22"/>
          <w:szCs w:val="22"/>
        </w:rPr>
        <w:t>Berko, J. (1958). The child's learning of English morphology. </w:t>
      </w:r>
      <w:r w:rsidR="00A64D44" w:rsidRPr="00A64D44">
        <w:rPr>
          <w:rFonts w:ascii="Arial" w:hAnsi="Arial" w:cs="Arial"/>
          <w:i/>
          <w:iCs/>
          <w:sz w:val="22"/>
          <w:szCs w:val="22"/>
        </w:rPr>
        <w:t>Word</w:t>
      </w:r>
      <w:r w:rsidR="00A64D44" w:rsidRPr="00A64D44">
        <w:rPr>
          <w:rFonts w:ascii="Arial" w:hAnsi="Arial" w:cs="Arial"/>
          <w:sz w:val="22"/>
          <w:szCs w:val="22"/>
        </w:rPr>
        <w:t>, </w:t>
      </w:r>
      <w:r w:rsidR="00A64D44" w:rsidRPr="00A64D44">
        <w:rPr>
          <w:rFonts w:ascii="Arial" w:hAnsi="Arial" w:cs="Arial"/>
          <w:i/>
          <w:iCs/>
          <w:sz w:val="22"/>
          <w:szCs w:val="22"/>
        </w:rPr>
        <w:t>14</w:t>
      </w:r>
      <w:r w:rsidR="00A64D44" w:rsidRPr="00A64D44">
        <w:rPr>
          <w:rFonts w:ascii="Arial" w:hAnsi="Arial" w:cs="Arial"/>
          <w:sz w:val="22"/>
          <w:szCs w:val="22"/>
        </w:rPr>
        <w:t>(2-3), 150-177.</w:t>
      </w:r>
    </w:p>
    <w:p w14:paraId="67BE7202" w14:textId="4FAA6A78" w:rsidR="00A64D44" w:rsidRPr="004F142A" w:rsidRDefault="00A64D44">
      <w:pPr>
        <w:pStyle w:val="NormalWeb"/>
        <w:spacing w:before="280" w:after="280"/>
        <w:rPr>
          <w:rFonts w:ascii="Arial" w:hAnsi="Arial" w:cs="Arial"/>
          <w:sz w:val="22"/>
          <w:szCs w:val="22"/>
        </w:rPr>
      </w:pPr>
      <w:r>
        <w:rPr>
          <w:rFonts w:ascii="Arial" w:hAnsi="Arial" w:cs="Arial"/>
          <w:sz w:val="22"/>
          <w:szCs w:val="22"/>
        </w:rPr>
        <w:t xml:space="preserve">[3] </w:t>
      </w:r>
      <w:r w:rsidRPr="00A64D44">
        <w:rPr>
          <w:rFonts w:ascii="Arial" w:hAnsi="Arial" w:cs="Arial"/>
          <w:sz w:val="22"/>
          <w:szCs w:val="22"/>
        </w:rPr>
        <w:t>Jarosz, G., Hughes, C., Lamont, A., Prickett, B., Baird, M., Kim, S., &amp; Nelson, M. (2025). Type and token frequency jointly drive learning of morphology. </w:t>
      </w:r>
      <w:r w:rsidRPr="00A64D44">
        <w:rPr>
          <w:rFonts w:ascii="Arial" w:hAnsi="Arial" w:cs="Arial"/>
          <w:i/>
          <w:iCs/>
          <w:sz w:val="22"/>
          <w:szCs w:val="22"/>
        </w:rPr>
        <w:t>Journal of Memory and Language</w:t>
      </w:r>
      <w:r w:rsidRPr="00A64D44">
        <w:rPr>
          <w:rFonts w:ascii="Arial" w:hAnsi="Arial" w:cs="Arial"/>
          <w:sz w:val="22"/>
          <w:szCs w:val="22"/>
        </w:rPr>
        <w:t>, 104666.</w:t>
      </w:r>
      <w:r>
        <w:rPr>
          <w:rFonts w:ascii="Arial" w:hAnsi="Arial" w:cs="Arial"/>
          <w:sz w:val="22"/>
          <w:szCs w:val="22"/>
        </w:rPr>
        <w:t>\</w:t>
      </w:r>
    </w:p>
    <w:p w14:paraId="3B8637D7" w14:textId="4A131452" w:rsidR="00904A22" w:rsidRDefault="00000000">
      <w:pPr>
        <w:pStyle w:val="NormalWeb"/>
        <w:spacing w:before="280" w:after="280"/>
        <w:rPr>
          <w:rFonts w:ascii="Arial" w:hAnsi="Arial" w:cs="Arial"/>
          <w:b/>
          <w:bCs/>
          <w:sz w:val="22"/>
          <w:szCs w:val="22"/>
        </w:rPr>
      </w:pPr>
      <w:r>
        <w:rPr>
          <w:rFonts w:ascii="Arial" w:hAnsi="Arial" w:cs="Arial"/>
          <w:b/>
          <w:bCs/>
          <w:sz w:val="22"/>
          <w:szCs w:val="22"/>
        </w:rPr>
        <w:t xml:space="preserve">Figures and Tables </w:t>
      </w:r>
    </w:p>
    <w:p w14:paraId="0E18884F" w14:textId="3776FE4D" w:rsidR="001922AC" w:rsidRDefault="001922AC">
      <w:pPr>
        <w:pStyle w:val="NormalWeb"/>
        <w:spacing w:before="280" w:after="280"/>
        <w:rPr>
          <w:rFonts w:ascii="Arial" w:hAnsi="Arial" w:cs="Arial"/>
          <w:sz w:val="22"/>
          <w:szCs w:val="22"/>
        </w:rPr>
      </w:pPr>
      <w:r>
        <w:rPr>
          <w:rFonts w:ascii="Arial" w:hAnsi="Arial" w:cs="Arial"/>
          <w:noProof/>
          <w:sz w:val="22"/>
          <w:szCs w:val="22"/>
        </w:rPr>
        <w:drawing>
          <wp:anchor distT="0" distB="0" distL="114300" distR="114300" simplePos="0" relativeHeight="251659264" behindDoc="0" locked="0" layoutInCell="1" allowOverlap="1" wp14:anchorId="7AAD137A" wp14:editId="5DBD2324">
            <wp:simplePos x="0" y="0"/>
            <wp:positionH relativeFrom="margin">
              <wp:posOffset>2614295</wp:posOffset>
            </wp:positionH>
            <wp:positionV relativeFrom="paragraph">
              <wp:posOffset>188595</wp:posOffset>
            </wp:positionV>
            <wp:extent cx="2847975" cy="678815"/>
            <wp:effectExtent l="0" t="0" r="9525" b="0"/>
            <wp:wrapThrough wrapText="bothSides">
              <wp:wrapPolygon edited="0">
                <wp:start x="0" y="0"/>
                <wp:lineTo x="0" y="20610"/>
                <wp:lineTo x="21528" y="20610"/>
                <wp:lineTo x="21528" y="0"/>
                <wp:lineTo x="0" y="0"/>
              </wp:wrapPolygon>
            </wp:wrapThrough>
            <wp:docPr id="1736098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847975" cy="678815"/>
                    </a:xfrm>
                    <a:prstGeom prst="rect">
                      <a:avLst/>
                    </a:prstGeom>
                    <a:noFill/>
                  </pic:spPr>
                </pic:pic>
              </a:graphicData>
            </a:graphic>
            <wp14:sizeRelH relativeFrom="margin">
              <wp14:pctWidth>0</wp14:pctWidth>
            </wp14:sizeRelH>
            <wp14:sizeRelV relativeFrom="margin">
              <wp14:pctHeight>0</wp14:pctHeight>
            </wp14:sizeRelV>
          </wp:anchor>
        </w:drawing>
      </w:r>
      <w:r w:rsidRPr="001922AC">
        <w:rPr>
          <w:rFonts w:ascii="Arial" w:hAnsi="Arial" w:cs="Arial"/>
          <w:sz w:val="22"/>
          <w:szCs w:val="22"/>
        </w:rPr>
        <w:drawing>
          <wp:inline distT="0" distB="0" distL="0" distR="0" wp14:anchorId="75B21C55" wp14:editId="03CE63B9">
            <wp:extent cx="2351459" cy="914400"/>
            <wp:effectExtent l="0" t="0" r="0" b="0"/>
            <wp:docPr id="1034" name="Picture 1033">
              <a:extLst xmlns:a="http://schemas.openxmlformats.org/drawingml/2006/main">
                <a:ext uri="{FF2B5EF4-FFF2-40B4-BE49-F238E27FC236}">
                  <a16:creationId xmlns:a16="http://schemas.microsoft.com/office/drawing/2014/main" id="{F5F87771-9DC7-E462-BDCF-BCCA2CA8708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 name="Picture 1033">
                      <a:extLst>
                        <a:ext uri="{FF2B5EF4-FFF2-40B4-BE49-F238E27FC236}">
                          <a16:creationId xmlns:a16="http://schemas.microsoft.com/office/drawing/2014/main" id="{F5F87771-9DC7-E462-BDCF-BCCA2CA8708D}"/>
                        </a:ext>
                      </a:extLst>
                    </pic:cNvPr>
                    <pic:cNvPicPr>
                      <a:picLocks noChangeAspect="1"/>
                    </pic:cNvPicPr>
                  </pic:nvPicPr>
                  <pic:blipFill>
                    <a:blip r:embed="rId6"/>
                    <a:stretch>
                      <a:fillRect/>
                    </a:stretch>
                  </pic:blipFill>
                  <pic:spPr>
                    <a:xfrm>
                      <a:off x="0" y="0"/>
                      <a:ext cx="2375680" cy="923819"/>
                    </a:xfrm>
                    <a:prstGeom prst="rect">
                      <a:avLst/>
                    </a:prstGeom>
                  </pic:spPr>
                </pic:pic>
              </a:graphicData>
            </a:graphic>
          </wp:inline>
        </w:drawing>
      </w:r>
    </w:p>
    <w:p w14:paraId="70D6E2CF" w14:textId="38AE6F91" w:rsidR="001922AC" w:rsidRPr="000D25E0" w:rsidRDefault="001922AC">
      <w:pPr>
        <w:pStyle w:val="NormalWeb"/>
        <w:spacing w:before="280" w:after="280"/>
        <w:rPr>
          <w:rFonts w:ascii="Arial" w:hAnsi="Arial" w:cs="Arial"/>
          <w:sz w:val="22"/>
          <w:szCs w:val="22"/>
        </w:rPr>
      </w:pPr>
      <w:r>
        <w:rPr>
          <w:rFonts w:ascii="Arial" w:hAnsi="Arial" w:cs="Arial"/>
          <w:sz w:val="22"/>
          <w:szCs w:val="22"/>
        </w:rPr>
        <w:t>Figure 1. Suffix description (left) and conditions description (right).</w:t>
      </w:r>
      <w:r w:rsidR="000D25E0">
        <w:rPr>
          <w:rFonts w:ascii="Arial" w:hAnsi="Arial" w:cs="Arial"/>
          <w:sz w:val="22"/>
          <w:szCs w:val="22"/>
        </w:rPr>
        <w:t xml:space="preserve"> Frequent/infrequent </w:t>
      </w:r>
      <w:proofErr w:type="gramStart"/>
      <w:r w:rsidR="000D25E0">
        <w:rPr>
          <w:rFonts w:ascii="Arial" w:hAnsi="Arial" w:cs="Arial"/>
          <w:sz w:val="22"/>
          <w:szCs w:val="22"/>
        </w:rPr>
        <w:t>suffix was</w:t>
      </w:r>
      <w:proofErr w:type="gramEnd"/>
      <w:r w:rsidR="000D25E0">
        <w:rPr>
          <w:rFonts w:ascii="Arial" w:hAnsi="Arial" w:cs="Arial"/>
          <w:sz w:val="22"/>
          <w:szCs w:val="22"/>
        </w:rPr>
        <w:t xml:space="preserve"> either </w:t>
      </w:r>
      <w:proofErr w:type="spellStart"/>
      <w:r w:rsidR="000D25E0">
        <w:rPr>
          <w:rFonts w:ascii="Arial" w:hAnsi="Arial" w:cs="Arial"/>
          <w:i/>
          <w:iCs/>
          <w:sz w:val="22"/>
          <w:szCs w:val="22"/>
        </w:rPr>
        <w:t>nem</w:t>
      </w:r>
      <w:proofErr w:type="spellEnd"/>
      <w:r w:rsidR="000D25E0">
        <w:rPr>
          <w:rFonts w:ascii="Arial" w:hAnsi="Arial" w:cs="Arial"/>
          <w:i/>
          <w:iCs/>
          <w:sz w:val="22"/>
          <w:szCs w:val="22"/>
        </w:rPr>
        <w:t xml:space="preserve"> </w:t>
      </w:r>
      <w:r w:rsidR="000D25E0">
        <w:rPr>
          <w:rFonts w:ascii="Arial" w:hAnsi="Arial" w:cs="Arial"/>
          <w:sz w:val="22"/>
          <w:szCs w:val="22"/>
        </w:rPr>
        <w:t xml:space="preserve">or </w:t>
      </w:r>
      <w:r w:rsidR="000D25E0">
        <w:rPr>
          <w:rFonts w:ascii="Arial" w:hAnsi="Arial" w:cs="Arial"/>
          <w:i/>
          <w:iCs/>
          <w:sz w:val="22"/>
          <w:szCs w:val="22"/>
        </w:rPr>
        <w:t xml:space="preserve">dan </w:t>
      </w:r>
      <w:r w:rsidR="000D25E0">
        <w:rPr>
          <w:rFonts w:ascii="Arial" w:hAnsi="Arial" w:cs="Arial"/>
          <w:sz w:val="22"/>
          <w:szCs w:val="22"/>
        </w:rPr>
        <w:t>(counterbalance to account for potential suffix-specific biases).</w:t>
      </w:r>
    </w:p>
    <w:p w14:paraId="6A252E6A" w14:textId="58FF6946" w:rsidR="00904A22" w:rsidRDefault="00E15B73">
      <w:r w:rsidRPr="00E15B73">
        <w:drawing>
          <wp:anchor distT="0" distB="0" distL="114300" distR="114300" simplePos="0" relativeHeight="251658240" behindDoc="1" locked="0" layoutInCell="1" allowOverlap="1" wp14:anchorId="21165635" wp14:editId="77099C01">
            <wp:simplePos x="0" y="0"/>
            <wp:positionH relativeFrom="column">
              <wp:posOffset>2671445</wp:posOffset>
            </wp:positionH>
            <wp:positionV relativeFrom="paragraph">
              <wp:posOffset>85725</wp:posOffset>
            </wp:positionV>
            <wp:extent cx="2457450" cy="1680210"/>
            <wp:effectExtent l="0" t="0" r="0" b="0"/>
            <wp:wrapTight wrapText="bothSides">
              <wp:wrapPolygon edited="0">
                <wp:start x="0" y="0"/>
                <wp:lineTo x="0" y="21306"/>
                <wp:lineTo x="21433" y="21306"/>
                <wp:lineTo x="21433" y="0"/>
                <wp:lineTo x="0" y="0"/>
              </wp:wrapPolygon>
            </wp:wrapTight>
            <wp:docPr id="62" name="Graphic 61">
              <a:extLst xmlns:a="http://schemas.openxmlformats.org/drawingml/2006/main">
                <a:ext uri="{FF2B5EF4-FFF2-40B4-BE49-F238E27FC236}">
                  <a16:creationId xmlns:a16="http://schemas.microsoft.com/office/drawing/2014/main" id="{7A22F4A2-3DC1-6D73-402E-C11FE37760E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Graphic 61">
                      <a:extLst>
                        <a:ext uri="{FF2B5EF4-FFF2-40B4-BE49-F238E27FC236}">
                          <a16:creationId xmlns:a16="http://schemas.microsoft.com/office/drawing/2014/main" id="{7A22F4A2-3DC1-6D73-402E-C11FE37760E5}"/>
                        </a:ext>
                      </a:extLst>
                    </pic:cNvPr>
                    <pic:cNvPicPr>
                      <a:picLocks noChangeAspect="1"/>
                    </pic:cNvPicPr>
                  </pic:nvPicPr>
                  <pic:blipFill>
                    <a:blip r:embed="rId7">
                      <a:extLst>
                        <a:ext uri="{96DAC541-7B7A-43D3-8B79-37D633B846F1}">
                          <asvg:svgBlip xmlns:asvg="http://schemas.microsoft.com/office/drawing/2016/SVG/main" r:embed="rId8"/>
                        </a:ext>
                      </a:extLst>
                    </a:blip>
                    <a:stretch>
                      <a:fillRect/>
                    </a:stretch>
                  </pic:blipFill>
                  <pic:spPr>
                    <a:xfrm>
                      <a:off x="0" y="0"/>
                      <a:ext cx="2457450" cy="1680210"/>
                    </a:xfrm>
                    <a:prstGeom prst="rect">
                      <a:avLst/>
                    </a:prstGeom>
                  </pic:spPr>
                </pic:pic>
              </a:graphicData>
            </a:graphic>
            <wp14:sizeRelH relativeFrom="margin">
              <wp14:pctWidth>0</wp14:pctWidth>
            </wp14:sizeRelH>
            <wp14:sizeRelV relativeFrom="margin">
              <wp14:pctHeight>0</wp14:pctHeight>
            </wp14:sizeRelV>
          </wp:anchor>
        </w:drawing>
      </w:r>
      <w:r w:rsidRPr="00E15B73">
        <w:drawing>
          <wp:inline distT="0" distB="0" distL="0" distR="0" wp14:anchorId="6FA52533" wp14:editId="0A11DB50">
            <wp:extent cx="2133600" cy="1779098"/>
            <wp:effectExtent l="0" t="0" r="0" b="0"/>
            <wp:docPr id="1024" name="Graphic 1023">
              <a:extLst xmlns:a="http://schemas.openxmlformats.org/drawingml/2006/main">
                <a:ext uri="{FF2B5EF4-FFF2-40B4-BE49-F238E27FC236}">
                  <a16:creationId xmlns:a16="http://schemas.microsoft.com/office/drawing/2014/main" id="{6AAD7D65-F102-C17A-7182-B39AFD80CE5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 name="Graphic 1023">
                      <a:extLst>
                        <a:ext uri="{FF2B5EF4-FFF2-40B4-BE49-F238E27FC236}">
                          <a16:creationId xmlns:a16="http://schemas.microsoft.com/office/drawing/2014/main" id="{6AAD7D65-F102-C17A-7182-B39AFD80CE58}"/>
                        </a:ext>
                      </a:extLst>
                    </pic:cNvPr>
                    <pic:cNvPicPr>
                      <a:picLocks noChangeAspect="1"/>
                    </pic:cNvPicPr>
                  </pic:nvPicPr>
                  <pic:blipFill>
                    <a:blip r:embed="rId9">
                      <a:extLst>
                        <a:ext uri="{96DAC541-7B7A-43D3-8B79-37D633B846F1}">
                          <asvg:svgBlip xmlns:asvg="http://schemas.microsoft.com/office/drawing/2016/SVG/main" r:embed="rId10"/>
                        </a:ext>
                      </a:extLst>
                    </a:blip>
                    <a:stretch>
                      <a:fillRect/>
                    </a:stretch>
                  </pic:blipFill>
                  <pic:spPr>
                    <a:xfrm>
                      <a:off x="0" y="0"/>
                      <a:ext cx="2133600" cy="1779098"/>
                    </a:xfrm>
                    <a:prstGeom prst="rect">
                      <a:avLst/>
                    </a:prstGeom>
                  </pic:spPr>
                </pic:pic>
              </a:graphicData>
            </a:graphic>
          </wp:inline>
        </w:drawing>
      </w:r>
    </w:p>
    <w:p w14:paraId="113347AC" w14:textId="12362082" w:rsidR="00E15B73" w:rsidRDefault="00E15B73" w:rsidP="00E15B73">
      <w:r>
        <w:t xml:space="preserve">Figure </w:t>
      </w:r>
      <w:r w:rsidR="001922AC">
        <w:t>2</w:t>
      </w:r>
      <w:r>
        <w:t xml:space="preserve">. </w:t>
      </w:r>
      <w:r w:rsidR="000302AC">
        <w:t>Left</w:t>
      </w:r>
      <w:r>
        <w:t xml:space="preserve"> plot shows the</w:t>
      </w:r>
      <w:r>
        <w:t xml:space="preserve"> statistical model</w:t>
      </w:r>
      <w:r>
        <w:t xml:space="preserve"> </w:t>
      </w:r>
      <w:r>
        <w:t>estimates for task-interaction model. The x-axis indicates the. The y-axis</w:t>
      </w:r>
      <w:r>
        <w:t xml:space="preserve"> </w:t>
      </w:r>
      <w:r>
        <w:t>corresponds to the proportion of responses with a frequent suffix. Blue</w:t>
      </w:r>
      <w:r>
        <w:t xml:space="preserve"> </w:t>
      </w:r>
      <w:r>
        <w:t>points indicate that the meaning was novel while purple points indicate</w:t>
      </w:r>
      <w:r>
        <w:t xml:space="preserve"> </w:t>
      </w:r>
      <w:r>
        <w:t>that the meaning was original. The facet indicates whether the stem was</w:t>
      </w:r>
      <w:r>
        <w:t xml:space="preserve"> </w:t>
      </w:r>
      <w:r>
        <w:t xml:space="preserve">novel or familiar. The production results are shown in the top </w:t>
      </w:r>
      <w:proofErr w:type="gramStart"/>
      <w:r>
        <w:t>plot</w:t>
      </w:r>
      <w:proofErr w:type="gramEnd"/>
      <w:r>
        <w:t xml:space="preserve"> and</w:t>
      </w:r>
      <w:r>
        <w:t xml:space="preserve"> </w:t>
      </w:r>
      <w:r>
        <w:t>the form-choice results are shown in the bottom plot.</w:t>
      </w:r>
      <w:r>
        <w:t xml:space="preserve"> The </w:t>
      </w:r>
      <w:proofErr w:type="gramStart"/>
      <w:r>
        <w:t>right plot</w:t>
      </w:r>
      <w:proofErr w:type="gramEnd"/>
      <w:r>
        <w:t xml:space="preserve"> shows comprehension results.</w:t>
      </w:r>
    </w:p>
    <w:p w14:paraId="477B2522" w14:textId="77777777" w:rsidR="00E15B73" w:rsidRDefault="00E15B73" w:rsidP="00E15B73"/>
    <w:p w14:paraId="37D503EA" w14:textId="48C14630" w:rsidR="004F142A" w:rsidRDefault="004F142A" w:rsidP="004F142A">
      <w:r w:rsidRPr="004F142A">
        <w:drawing>
          <wp:anchor distT="0" distB="0" distL="114300" distR="114300" simplePos="0" relativeHeight="251660288" behindDoc="0" locked="0" layoutInCell="1" allowOverlap="1" wp14:anchorId="735E0653" wp14:editId="28097442">
            <wp:simplePos x="0" y="0"/>
            <wp:positionH relativeFrom="column">
              <wp:posOffset>4445</wp:posOffset>
            </wp:positionH>
            <wp:positionV relativeFrom="paragraph">
              <wp:posOffset>-4445</wp:posOffset>
            </wp:positionV>
            <wp:extent cx="2124075" cy="1828063"/>
            <wp:effectExtent l="0" t="0" r="0" b="1270"/>
            <wp:wrapSquare wrapText="bothSides"/>
            <wp:docPr id="60" name="Graphic 59">
              <a:extLst xmlns:a="http://schemas.openxmlformats.org/drawingml/2006/main">
                <a:ext uri="{FF2B5EF4-FFF2-40B4-BE49-F238E27FC236}">
                  <a16:creationId xmlns:a16="http://schemas.microsoft.com/office/drawing/2014/main" id="{1784F5C3-EB17-145C-B642-EB154EB185D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Graphic 59">
                      <a:extLst>
                        <a:ext uri="{FF2B5EF4-FFF2-40B4-BE49-F238E27FC236}">
                          <a16:creationId xmlns:a16="http://schemas.microsoft.com/office/drawing/2014/main" id="{1784F5C3-EB17-145C-B642-EB154EB185D7}"/>
                        </a:ext>
                      </a:extLst>
                    </pic:cNvPr>
                    <pic:cNvPicPr>
                      <a:picLocks noChangeAspect="1"/>
                    </pic:cNvPicPr>
                  </pic:nvPicPr>
                  <pic:blipFill>
                    <a:blip r:embed="rId11">
                      <a:extLst>
                        <a:ext uri="{96DAC541-7B7A-43D3-8B79-37D633B846F1}">
                          <asvg:svgBlip xmlns:asvg="http://schemas.microsoft.com/office/drawing/2016/SVG/main" r:embed="rId12"/>
                        </a:ext>
                      </a:extLst>
                    </a:blip>
                    <a:stretch>
                      <a:fillRect/>
                    </a:stretch>
                  </pic:blipFill>
                  <pic:spPr>
                    <a:xfrm>
                      <a:off x="0" y="0"/>
                      <a:ext cx="2124075" cy="1828063"/>
                    </a:xfrm>
                    <a:prstGeom prst="rect">
                      <a:avLst/>
                    </a:prstGeom>
                  </pic:spPr>
                </pic:pic>
              </a:graphicData>
            </a:graphic>
          </wp:anchor>
        </w:drawing>
      </w:r>
      <w:r>
        <w:t xml:space="preserve">Figure 3. Plot of logistic perceptron side-by-side with human results. </w:t>
      </w:r>
      <w:r>
        <w:t>The y-axis is the</w:t>
      </w:r>
      <w:r>
        <w:t xml:space="preserve"> </w:t>
      </w:r>
      <w:r>
        <w:t>probability of producing the frequent meaning. The top</w:t>
      </w:r>
      <w:r>
        <w:t xml:space="preserve"> </w:t>
      </w:r>
      <w:r>
        <w:t>facet corresponds to novel</w:t>
      </w:r>
      <w:r>
        <w:t xml:space="preserve"> </w:t>
      </w:r>
      <w:proofErr w:type="gramStart"/>
      <w:r>
        <w:t>meanings</w:t>
      </w:r>
      <w:proofErr w:type="gramEnd"/>
      <w:r>
        <w:t xml:space="preserve"> and the bottom</w:t>
      </w:r>
      <w:r>
        <w:t xml:space="preserve"> </w:t>
      </w:r>
      <w:r>
        <w:t xml:space="preserve">axis corresponds to original meanings. </w:t>
      </w:r>
      <w:r>
        <w:t xml:space="preserve">X-axis presents </w:t>
      </w:r>
      <w:r>
        <w:t>the human results</w:t>
      </w:r>
      <w:r>
        <w:t xml:space="preserve"> and the logistic </w:t>
      </w:r>
      <w:proofErr w:type="gramStart"/>
      <w:r>
        <w:t>perceptron</w:t>
      </w:r>
      <w:proofErr w:type="gramEnd"/>
      <w:r>
        <w:t>.</w:t>
      </w:r>
      <w:r>
        <w:t xml:space="preserve"> </w:t>
      </w:r>
      <w:r>
        <w:t>The results demonstrate</w:t>
      </w:r>
      <w:r>
        <w:t xml:space="preserve"> </w:t>
      </w:r>
      <w:r>
        <w:t xml:space="preserve">that the model qualitatively captures the results in the Type </w:t>
      </w:r>
      <w:proofErr w:type="gramStart"/>
      <w:r>
        <w:t xml:space="preserve">Frequency </w:t>
      </w:r>
      <w:r>
        <w:t xml:space="preserve"> </w:t>
      </w:r>
      <w:r>
        <w:t>and</w:t>
      </w:r>
      <w:proofErr w:type="gramEnd"/>
      <w:r>
        <w:t xml:space="preserve"> </w:t>
      </w:r>
      <w:r>
        <w:t xml:space="preserve">Type-Token Frequency </w:t>
      </w:r>
      <w:proofErr w:type="gramStart"/>
      <w:r>
        <w:t>conditions, but</w:t>
      </w:r>
      <w:proofErr w:type="gramEnd"/>
      <w:r>
        <w:t xml:space="preserve"> falls short of</w:t>
      </w:r>
      <w:r>
        <w:t xml:space="preserve"> </w:t>
      </w:r>
      <w:r>
        <w:t>capturing the human results in</w:t>
      </w:r>
      <w:r>
        <w:t xml:space="preserve"> </w:t>
      </w:r>
      <w:r>
        <w:t>the Token Frequency condition</w:t>
      </w:r>
      <w:r>
        <w:t>.</w:t>
      </w:r>
    </w:p>
    <w:sectPr w:rsidR="004F142A">
      <w:pgSz w:w="11906" w:h="16838"/>
      <w:pgMar w:top="1418" w:right="1418" w:bottom="1418" w:left="1418"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rlito">
    <w:altName w:val="Calibri"/>
    <w:charset w:val="01"/>
    <w:family w:val="swiss"/>
    <w:pitch w:val="variable"/>
  </w:font>
  <w:font w:name="Noto Sans SC Regular">
    <w:panose1 w:val="00000000000000000000"/>
    <w:charset w:val="00"/>
    <w:family w:val="roman"/>
    <w:notTrueType/>
    <w:pitch w:val="default"/>
  </w:font>
  <w:font w:name="Noto Sans">
    <w:charset w:val="00"/>
    <w:family w:val="swiss"/>
    <w:pitch w:val="variable"/>
    <w:sig w:usb0="E00082FF" w:usb1="400078FF" w:usb2="00000021" w:usb3="00000000" w:csb0="0000019F" w:csb1="00000000"/>
  </w:font>
  <w:font w:name="Arial">
    <w:panose1 w:val="020B0604020202020204"/>
    <w:charset w:val="00"/>
    <w:family w:val="swiss"/>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55D7E"/>
    <w:multiLevelType w:val="multilevel"/>
    <w:tmpl w:val="683434DC"/>
    <w:lvl w:ilvl="0">
      <w:numFmt w:val="bullet"/>
      <w:lvlText w:val=""/>
      <w:lvlJc w:val="left"/>
      <w:pPr>
        <w:tabs>
          <w:tab w:val="num" w:pos="0"/>
        </w:tabs>
        <w:ind w:left="720" w:hanging="360"/>
      </w:pPr>
      <w:rPr>
        <w:rFonts w:ascii="Symbol" w:hAnsi="Symbol" w:cs="Symbol" w:hint="default"/>
      </w:rPr>
    </w:lvl>
    <w:lvl w:ilvl="1">
      <w:numFmt w:val="bullet"/>
      <w:lvlText w:val="o"/>
      <w:lvlJc w:val="left"/>
      <w:pPr>
        <w:tabs>
          <w:tab w:val="num" w:pos="0"/>
        </w:tabs>
        <w:ind w:left="1440" w:hanging="360"/>
      </w:pPr>
      <w:rPr>
        <w:rFonts w:ascii="Courier New" w:hAnsi="Courier New" w:cs="Courier New" w:hint="default"/>
      </w:rPr>
    </w:lvl>
    <w:lvl w:ilvl="2">
      <w:numFmt w:val="bullet"/>
      <w:lvlText w:val=""/>
      <w:lvlJc w:val="left"/>
      <w:pPr>
        <w:tabs>
          <w:tab w:val="num" w:pos="0"/>
        </w:tabs>
        <w:ind w:left="2160" w:hanging="360"/>
      </w:pPr>
      <w:rPr>
        <w:rFonts w:ascii="Wingdings" w:hAnsi="Wingdings" w:cs="Wingdings" w:hint="default"/>
      </w:rPr>
    </w:lvl>
    <w:lvl w:ilvl="3">
      <w:numFmt w:val="bullet"/>
      <w:lvlText w:val=""/>
      <w:lvlJc w:val="left"/>
      <w:pPr>
        <w:tabs>
          <w:tab w:val="num" w:pos="0"/>
        </w:tabs>
        <w:ind w:left="2880" w:hanging="360"/>
      </w:pPr>
      <w:rPr>
        <w:rFonts w:ascii="Symbol" w:hAnsi="Symbol" w:cs="Symbol" w:hint="default"/>
      </w:rPr>
    </w:lvl>
    <w:lvl w:ilvl="4">
      <w:numFmt w:val="bullet"/>
      <w:lvlText w:val="o"/>
      <w:lvlJc w:val="left"/>
      <w:pPr>
        <w:tabs>
          <w:tab w:val="num" w:pos="0"/>
        </w:tabs>
        <w:ind w:left="3600" w:hanging="360"/>
      </w:pPr>
      <w:rPr>
        <w:rFonts w:ascii="Courier New" w:hAnsi="Courier New" w:cs="Courier New" w:hint="default"/>
      </w:rPr>
    </w:lvl>
    <w:lvl w:ilvl="5">
      <w:numFmt w:val="bullet"/>
      <w:lvlText w:val=""/>
      <w:lvlJc w:val="left"/>
      <w:pPr>
        <w:tabs>
          <w:tab w:val="num" w:pos="0"/>
        </w:tabs>
        <w:ind w:left="4320" w:hanging="360"/>
      </w:pPr>
      <w:rPr>
        <w:rFonts w:ascii="Wingdings" w:hAnsi="Wingdings" w:cs="Wingdings" w:hint="default"/>
      </w:rPr>
    </w:lvl>
    <w:lvl w:ilvl="6">
      <w:numFmt w:val="bullet"/>
      <w:lvlText w:val=""/>
      <w:lvlJc w:val="left"/>
      <w:pPr>
        <w:tabs>
          <w:tab w:val="num" w:pos="0"/>
        </w:tabs>
        <w:ind w:left="5040" w:hanging="360"/>
      </w:pPr>
      <w:rPr>
        <w:rFonts w:ascii="Symbol" w:hAnsi="Symbol" w:cs="Symbol" w:hint="default"/>
      </w:rPr>
    </w:lvl>
    <w:lvl w:ilvl="7">
      <w:numFmt w:val="bullet"/>
      <w:lvlText w:val="o"/>
      <w:lvlJc w:val="left"/>
      <w:pPr>
        <w:tabs>
          <w:tab w:val="num" w:pos="0"/>
        </w:tabs>
        <w:ind w:left="5760" w:hanging="360"/>
      </w:pPr>
      <w:rPr>
        <w:rFonts w:ascii="Courier New" w:hAnsi="Courier New" w:cs="Courier New" w:hint="default"/>
      </w:rPr>
    </w:lvl>
    <w:lvl w:ilvl="8">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4A055D7A"/>
    <w:multiLevelType w:val="multilevel"/>
    <w:tmpl w:val="A258B11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535535700">
    <w:abstractNumId w:val="0"/>
  </w:num>
  <w:num w:numId="2" w16cid:durableId="17495687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4A22"/>
    <w:rsid w:val="000302AC"/>
    <w:rsid w:val="000C5CF2"/>
    <w:rsid w:val="000D25E0"/>
    <w:rsid w:val="001922AC"/>
    <w:rsid w:val="00222E4C"/>
    <w:rsid w:val="003D7D69"/>
    <w:rsid w:val="0043232C"/>
    <w:rsid w:val="004F142A"/>
    <w:rsid w:val="005276F4"/>
    <w:rsid w:val="005E08BE"/>
    <w:rsid w:val="00614D17"/>
    <w:rsid w:val="00904A22"/>
    <w:rsid w:val="00906196"/>
    <w:rsid w:val="00A64D44"/>
    <w:rsid w:val="00B32C3C"/>
    <w:rsid w:val="00B9437F"/>
    <w:rsid w:val="00C81E0B"/>
    <w:rsid w:val="00DC2810"/>
    <w:rsid w:val="00E15B73"/>
    <w:rsid w:val="00E6746D"/>
    <w:rsid w:val="00F956A3"/>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D11B21"/>
  <w15:docId w15:val="{26E79151-9033-4FA3-9A41-77DAE99A90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BodyText"/>
    <w:link w:val="Heading1Char"/>
    <w:uiPriority w:val="9"/>
    <w:qFormat/>
    <w:rsid w:val="006034A0"/>
    <w:pPr>
      <w:keepNext/>
      <w:keepLines/>
      <w:spacing w:before="360" w:after="80"/>
      <w:outlineLvl w:val="0"/>
    </w:pPr>
    <w:rPr>
      <w:rFonts w:asciiTheme="majorHAnsi" w:eastAsiaTheme="majorEastAsia" w:hAnsiTheme="majorHAnsi" w:cstheme="majorBidi"/>
      <w:color w:val="2F5496" w:themeColor="accent1" w:themeShade="BF"/>
      <w:kern w:val="0"/>
      <w:sz w:val="40"/>
      <w:szCs w:val="40"/>
      <w:lang w:eastAsia="zh-CN"/>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6034A0"/>
    <w:rPr>
      <w:rFonts w:asciiTheme="majorHAnsi" w:eastAsiaTheme="majorEastAsia" w:hAnsiTheme="majorHAnsi" w:cstheme="majorBidi"/>
      <w:color w:val="2F5496" w:themeColor="accent1" w:themeShade="BF"/>
      <w:kern w:val="0"/>
      <w:sz w:val="40"/>
      <w:szCs w:val="40"/>
      <w:lang w:val="en-US" w:eastAsia="zh-CN"/>
      <w14:ligatures w14:val="none"/>
    </w:rPr>
  </w:style>
  <w:style w:type="character" w:customStyle="1" w:styleId="BodyTextChar">
    <w:name w:val="Body Text Char"/>
    <w:basedOn w:val="DefaultParagraphFont"/>
    <w:link w:val="BodyText"/>
    <w:qFormat/>
    <w:rsid w:val="006034A0"/>
    <w:rPr>
      <w:kern w:val="0"/>
      <w:lang w:val="en-US" w:eastAsia="zh-CN"/>
      <w14:ligatures w14:val="none"/>
    </w:rPr>
  </w:style>
  <w:style w:type="character" w:customStyle="1" w:styleId="TitleChar">
    <w:name w:val="Title Char"/>
    <w:basedOn w:val="DefaultParagraphFont"/>
    <w:link w:val="Title"/>
    <w:uiPriority w:val="10"/>
    <w:qFormat/>
    <w:rsid w:val="006034A0"/>
    <w:rPr>
      <w:rFonts w:asciiTheme="majorHAnsi" w:eastAsiaTheme="majorEastAsia" w:hAnsiTheme="majorHAnsi" w:cstheme="majorBidi"/>
      <w:kern w:val="0"/>
      <w:sz w:val="56"/>
      <w:szCs w:val="56"/>
      <w:lang w:val="en-US" w:eastAsia="zh-CN"/>
      <w14:ligatures w14:val="none"/>
    </w:rPr>
  </w:style>
  <w:style w:type="character" w:customStyle="1" w:styleId="CommentTextChar">
    <w:name w:val="Comment Text Char"/>
    <w:basedOn w:val="DefaultParagraphFont"/>
    <w:link w:val="CommentText"/>
    <w:qFormat/>
    <w:rsid w:val="006034A0"/>
    <w:rPr>
      <w:kern w:val="0"/>
      <w:sz w:val="20"/>
      <w:szCs w:val="20"/>
      <w:lang w:val="en-US" w:eastAsia="zh-CN"/>
      <w14:ligatures w14:val="none"/>
    </w:rPr>
  </w:style>
  <w:style w:type="character" w:styleId="CommentReference">
    <w:name w:val="annotation reference"/>
    <w:basedOn w:val="DefaultParagraphFont"/>
    <w:qFormat/>
    <w:rsid w:val="006034A0"/>
    <w:rPr>
      <w:sz w:val="16"/>
      <w:szCs w:val="16"/>
    </w:rPr>
  </w:style>
  <w:style w:type="character" w:styleId="Hyperlink">
    <w:name w:val="Hyperlink"/>
    <w:basedOn w:val="DefaultParagraphFont"/>
    <w:uiPriority w:val="99"/>
    <w:unhideWhenUsed/>
    <w:rsid w:val="00FB2EDD"/>
    <w:rPr>
      <w:color w:val="0563C1" w:themeColor="hyperlink"/>
      <w:u w:val="single"/>
    </w:rPr>
  </w:style>
  <w:style w:type="character" w:styleId="UnresolvedMention">
    <w:name w:val="Unresolved Mention"/>
    <w:basedOn w:val="DefaultParagraphFont"/>
    <w:uiPriority w:val="99"/>
    <w:semiHidden/>
    <w:unhideWhenUsed/>
    <w:qFormat/>
    <w:rsid w:val="00FB2EDD"/>
    <w:rPr>
      <w:color w:val="605E5C"/>
      <w:shd w:val="clear" w:color="auto" w:fill="E1DFDD"/>
    </w:rPr>
  </w:style>
  <w:style w:type="character" w:styleId="FollowedHyperlink">
    <w:name w:val="FollowedHyperlink"/>
    <w:basedOn w:val="DefaultParagraphFont"/>
    <w:uiPriority w:val="99"/>
    <w:semiHidden/>
    <w:unhideWhenUsed/>
    <w:rsid w:val="00FB2EDD"/>
    <w:rPr>
      <w:color w:val="954F72" w:themeColor="followedHyperlink"/>
      <w:u w:val="single"/>
    </w:rPr>
  </w:style>
  <w:style w:type="paragraph" w:customStyle="1" w:styleId="Heading">
    <w:name w:val="Heading"/>
    <w:basedOn w:val="Normal"/>
    <w:next w:val="BodyText"/>
    <w:qFormat/>
    <w:pPr>
      <w:keepNext/>
      <w:spacing w:before="240" w:after="120"/>
    </w:pPr>
    <w:rPr>
      <w:rFonts w:ascii="Carlito" w:eastAsia="Noto Sans SC Regular" w:hAnsi="Carlito" w:cs="Noto Sans"/>
      <w:sz w:val="28"/>
      <w:szCs w:val="28"/>
    </w:rPr>
  </w:style>
  <w:style w:type="paragraph" w:styleId="BodyText">
    <w:name w:val="Body Text"/>
    <w:basedOn w:val="Normal"/>
    <w:link w:val="BodyTextChar"/>
    <w:qFormat/>
    <w:rsid w:val="006034A0"/>
    <w:pPr>
      <w:spacing w:before="180" w:after="180"/>
    </w:pPr>
    <w:rPr>
      <w:kern w:val="0"/>
      <w:lang w:eastAsia="zh-CN"/>
      <w14:ligatures w14:val="none"/>
    </w:rPr>
  </w:style>
  <w:style w:type="paragraph" w:styleId="List">
    <w:name w:val="List"/>
    <w:basedOn w:val="BodyText"/>
    <w:rPr>
      <w:rFonts w:cs="Noto Sans"/>
    </w:rPr>
  </w:style>
  <w:style w:type="paragraph" w:styleId="Caption">
    <w:name w:val="caption"/>
    <w:basedOn w:val="Normal"/>
    <w:qFormat/>
    <w:pPr>
      <w:suppressLineNumbers/>
      <w:spacing w:before="120" w:after="120"/>
    </w:pPr>
    <w:rPr>
      <w:rFonts w:cs="Noto Sans"/>
      <w:i/>
      <w:iCs/>
    </w:rPr>
  </w:style>
  <w:style w:type="paragraph" w:customStyle="1" w:styleId="Index">
    <w:name w:val="Index"/>
    <w:basedOn w:val="Normal"/>
    <w:qFormat/>
    <w:pPr>
      <w:suppressLineNumbers/>
    </w:pPr>
    <w:rPr>
      <w:rFonts w:cs="Noto Sans"/>
    </w:rPr>
  </w:style>
  <w:style w:type="paragraph" w:customStyle="1" w:styleId="FirstParagraph">
    <w:name w:val="First Paragraph"/>
    <w:basedOn w:val="BodyText"/>
    <w:next w:val="BodyText"/>
    <w:qFormat/>
    <w:rsid w:val="006034A0"/>
  </w:style>
  <w:style w:type="paragraph" w:customStyle="1" w:styleId="Compact">
    <w:name w:val="Compact"/>
    <w:basedOn w:val="BodyText"/>
    <w:qFormat/>
    <w:rsid w:val="006034A0"/>
    <w:pPr>
      <w:spacing w:before="36" w:after="36"/>
    </w:pPr>
  </w:style>
  <w:style w:type="paragraph" w:styleId="Title">
    <w:name w:val="Title"/>
    <w:basedOn w:val="Normal"/>
    <w:next w:val="BodyText"/>
    <w:link w:val="TitleChar"/>
    <w:uiPriority w:val="10"/>
    <w:qFormat/>
    <w:rsid w:val="006034A0"/>
    <w:pPr>
      <w:spacing w:after="80"/>
      <w:contextualSpacing/>
      <w:jc w:val="center"/>
    </w:pPr>
    <w:rPr>
      <w:rFonts w:asciiTheme="majorHAnsi" w:eastAsiaTheme="majorEastAsia" w:hAnsiTheme="majorHAnsi" w:cstheme="majorBidi"/>
      <w:kern w:val="0"/>
      <w:sz w:val="56"/>
      <w:szCs w:val="56"/>
      <w:lang w:eastAsia="zh-CN"/>
      <w14:ligatures w14:val="none"/>
    </w:rPr>
  </w:style>
  <w:style w:type="paragraph" w:styleId="NormalWeb">
    <w:name w:val="Normal (Web)"/>
    <w:basedOn w:val="Normal"/>
    <w:uiPriority w:val="99"/>
    <w:unhideWhenUsed/>
    <w:qFormat/>
    <w:rsid w:val="006034A0"/>
    <w:pPr>
      <w:spacing w:beforeAutospacing="1" w:afterAutospacing="1"/>
    </w:pPr>
    <w:rPr>
      <w:rFonts w:ascii="Times New Roman" w:eastAsia="Times New Roman" w:hAnsi="Times New Roman" w:cs="Times New Roman"/>
      <w:kern w:val="0"/>
      <w14:ligatures w14:val="none"/>
    </w:rPr>
  </w:style>
  <w:style w:type="paragraph" w:styleId="CommentText">
    <w:name w:val="annotation text"/>
    <w:basedOn w:val="Normal"/>
    <w:link w:val="CommentTextChar"/>
    <w:rsid w:val="006034A0"/>
    <w:pPr>
      <w:spacing w:after="200"/>
    </w:pPr>
    <w:rPr>
      <w:kern w:val="0"/>
      <w:sz w:val="20"/>
      <w:szCs w:val="20"/>
      <w:lang w:eastAsia="zh-CN"/>
      <w14:ligatures w14:val="none"/>
    </w:rPr>
  </w:style>
  <w:style w:type="paragraph" w:customStyle="1" w:styleId="FrameContents">
    <w:name w:val="Frame Contents"/>
    <w:basedOn w:val="Normal"/>
    <w:qFormat/>
  </w:style>
  <w:style w:type="table" w:customStyle="1" w:styleId="Table">
    <w:name w:val="Table"/>
    <w:semiHidden/>
    <w:unhideWhenUsed/>
    <w:qFormat/>
    <w:rsid w:val="006034A0"/>
    <w:pPr>
      <w:spacing w:after="200"/>
    </w:pPr>
    <w:rPr>
      <w:kern w:val="0"/>
      <w:sz w:val="20"/>
      <w:szCs w:val="20"/>
      <w:lang w:eastAsia="zh-CN"/>
      <w14:ligatures w14:val="none"/>
    </w:rPr>
    <w:tblPr>
      <w:tblCellMar>
        <w:top w:w="0" w:type="dxa"/>
        <w:left w:w="108" w:type="dxa"/>
        <w:bottom w:w="0" w:type="dxa"/>
        <w:right w:w="108" w:type="dxa"/>
      </w:tblCellMar>
    </w:tblPr>
    <w:tblStylePr w:type="firstRow">
      <w:tblPr/>
      <w:tcPr>
        <w:tcBorders>
          <w:bottom w:val="single" w:sz="0" w:space="0" w:color="auto"/>
        </w:tcBorders>
        <w:vAlign w:val="bottom"/>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sv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sv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sv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2</Pages>
  <Words>707</Words>
  <Characters>4030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Torsten Jachmann</dc:creator>
  <dc:description/>
  <cp:lastModifiedBy>Zachary Houghton</cp:lastModifiedBy>
  <cp:revision>2</cp:revision>
  <dcterms:created xsi:type="dcterms:W3CDTF">2026-04-27T18:38:00Z</dcterms:created>
  <dcterms:modified xsi:type="dcterms:W3CDTF">2026-04-27T18:38:00Z</dcterms:modified>
  <dc:language>en-US</dc:language>
</cp:coreProperties>
</file>