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77935" w14:textId="77777777" w:rsidR="009A7C2A" w:rsidRDefault="00000000">
      <w:pPr>
        <w:pStyle w:val="FirstParagraph"/>
        <w:spacing w:line="480" w:lineRule="auto"/>
        <w:jc w:val="center"/>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38D6A672" w14:textId="77777777" w:rsidR="009A7C2A" w:rsidRDefault="00000000">
      <w:pPr>
        <w:pStyle w:val="AbstractTitle"/>
        <w:spacing w:line="480" w:lineRule="auto"/>
      </w:pPr>
      <w:r>
        <w:t>Abstract</w:t>
      </w:r>
    </w:p>
    <w:p w14:paraId="1DBC36E3" w14:textId="77777777" w:rsidR="009A7C2A" w:rsidRDefault="00000000">
      <w:pPr>
        <w:pStyle w:val="Abstract"/>
        <w:keepNext w:val="0"/>
        <w:keepLines w:val="0"/>
        <w:spacing w:line="480" w:lineRule="auto"/>
      </w:pPr>
      <w:r>
        <w:t>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Against 62 CP-SAT references, its mean gap is 0.10–0.23% in under 0.5 s; on 20 small unconstrained proven-optimal instances, it averages 0.23% above optimum. Where CP-SAT finds no feasible schedule within 600 s, it outperforms all compared methods.</w:t>
      </w:r>
    </w:p>
    <w:p w14:paraId="58926347" w14:textId="77777777" w:rsidR="009A7C2A" w:rsidRDefault="00000000">
      <w:pPr>
        <w:pStyle w:val="Abstract"/>
        <w:keepNext w:val="0"/>
        <w:keepLines w:val="0"/>
        <w:spacing w:line="480" w:lineRule="auto"/>
      </w:pPr>
      <w:r>
        <w:rPr>
          <w:b/>
          <w:bCs/>
        </w:rPr>
        <w:t>Keywords:</w:t>
      </w:r>
      <w:r>
        <w:t xml:space="preserve"> Cross-Docking, Compound Truck, Release Time, Soft Due Date, Iterated Local Search, Constraint Programming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운송)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트럭에서는 시간 제약의 의미가 달라진다. 병행 트럭은 순수 입고트럭도 출고트럭도 아니다. 부분 하역 후 한 목적지의 화물을 유지하고, 해당 목적지로 들어오는 이송 화물을 기다린 뒤 비로소 출고 운송 트럭으로 출발한다. 이러한 부분 하역 변환은 도착, 부분 하역, 유지 화물 보관, 이송 화물 대기, 출고로 이어지는 선행 관계(precedence)를 만들며, 이 선행 관계는 공유 목적지를 통해 여러 트럭에 걸쳐 이어진다. 따라서 한 트럭이 늦게 도착하면 그 트럭의 작업만 늦어지는 데 그치지 않고, 그 트럭의 이송 화물을 기다리는 모든 출고 운송 트럭의 출발도 늦어진다. 이렇게 이어진 지연이 연성 납기(soft due date)를 넘으면 납기지연 비용이 발생한다. 본 연구는 알려진 도착 시각과 연성 납기가 부분 하역 후 출고 운송 트럭으로 전환되는 과정과 결합되는 방식을 정식화하고 분석하며, 저자가 아는 한 이 결합은 이전에 모형화된 바 없다.</w:t>
      </w:r>
      <w:r w:rsidRPr="00E80019">
        <w:rPr>
          <w:rFonts w:asciiTheme="minorEastAsia" w:hAnsiTheme="minorEastAsia"/>
        </w:rPr>
        <w:t xml:space="preserve"/>
      </w:r>
      <w:r w:rsidRPr="00E80019">
        <w:rPr>
          <w:rFonts w:asciiTheme="minorEastAsia" w:hAnsiTheme="minorEastAsia"/>
        </w:rPr>
        <w:t xml:space="preserve"/>
      </w:r>
      <w:r w:rsidRPr="00E80019">
        <w:rPr>
          <w:rFonts w:asciiTheme="minorEastAsia" w:hAnsiTheme="minorEastAsia"/>
        </w:rPr>
        <w:t xml:space="preserve"/>
      </w:r>
      <w:r w:rsidRPr="00E80019">
        <w:rPr>
          <w:rFonts w:asciiTheme="minorEastAsia" w:hAnsiTheme="minorEastAsia"/>
        </w:rPr>
        <w:t xml:space="preserve"/>
      </w:r>
      <w:r w:rsidRPr="00E80019">
        <w:rPr>
          <w:rFonts w:asciiTheme="minorEastAsia" w:hAnsiTheme="minorEastAsia"/>
        </w:rPr>
        <w:lastRenderedPageBreak/>
        <w:t xml:space="preserve"/>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이처럼 시간 제약을 다룬 계열과 부분 하역 병행 트럭 계열은 서로 따로 발전해 왔다. 본 연구는 지정 목적지의 화물을 유지한 채 부분 하역한 병행 트럭이 그 목적지의 운송 트럭으로 전환되고, 다른 트럭에서 오는 이송 화물을 모두 받은 뒤에야 출발할 수 있는 구조에 트럭별 도착 시각과 연성 납기를 결합한 모형을 저자가 아는 한 처음 제시한다. 이 모형은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관련 연구.</w:t>
      </w:r>
      <w:r w:rsidRPr="00E80019">
        <w:rPr>
          <w:rFonts w:asciiTheme="minorEastAsia" w:hAnsiTheme="minorEastAsia"/>
        </w:rPr>
        <w:t xml:space="preserve"> 크로스도킹 도크 스케줄링은 Boysen과 Fliedner(2010)의 분류와 Van Belle 등(2012)의 연구 동향 정리에 요약되어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w:t>
      </w:r>
      <w:r w:rsidRPr="00E80019">
        <w:rPr>
          <w:rFonts w:asciiTheme="minorEastAsia" w:hAnsiTheme="minorEastAsia"/>
        </w:rPr>
        <w:t xml:space="preserve">과 납기지연,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정리하면 다음과 같다.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xml:space="preserve">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이 문제에서 결정해야 하는 사항은 세 가지이다. 각 병행 트럭이 유지할 목적지 하나와 배정될 도어 하나(도어당 병행 트럭은 최대 1대), 각 출고트럭이 맡을 나머지 목적지 하나와 배정될 도어, 그리고 같은 도어에 배정된 출고트럭들의 작업 순서이다. 각 목적지에는 정확히 하나의 운송 트럭이 배정된다. 병행 트럭 </w:t>
      </w:r>
      <w:r>
        <w:t xml:space="preserve"/>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xml:space="preserve"> </m:t>
        </m:r>
        <m:r>
          <m:rPr>
            <m:nor/>
          </m:rPr>
          <w:rPr>
            <w:rFonts w:asciiTheme="minorEastAsia" w:hAnsiTheme="minorEastAsia"/>
          </w:rPr>
          <m:t>destination ready</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xml:space="preserve">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해당 목적지 화물을 싣고 온(</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해당 목적지 화물을 싣고 온(</w:t>
      </w:r>
      <m:oMath>
        <m:nary>
          <m:naryPr>
            <m:chr m:val="∑"/>
            <m:limLoc m:val="undOvr"/>
            <m:subHide m:val="off"/>
            <m:supHide m:val="on"/>
          </m:naryPr>
          <m:sub>
            <m:r>
              <m:t>k</m:t>
            </m:r>
          </m:sub>
          <m:sup>
            <m:r>
              <m:t/>
            </m:r>
          </m:sup>
          <m:e>
            <m:sSub>
              <m:e>
                <m:r>
                  <m:t>f</m:t>
                </m:r>
              </m:e>
              <m:sub>
                <m:r>
                  <m:t>i</m:t>
                </m:r>
                <m:r>
                  <m:t>d</m:t>
                </m:r>
                <m:r>
                  <m:t>k</m:t>
                </m:r>
              </m:sub>
            </m:sSub>
          </m:e>
        </m:nary>
        <m:r>
          <m:rPr>
            <m:sty m:val="p"/>
          </m:rPr>
          <m:t>&gt;</m:t>
        </m:r>
        <m:r>
          <m:t>0</m:t>
        </m:r>
      </m:oMath>
      <w:r>
        <w:rPr>
          <w:rFonts w:asciiTheme="minorEastAsia" w:hAnsiTheme="minorEastAsia"/>
        </w:rPr>
        <w:t xml:space="preserve">)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xml:space="preserve">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각 트럭의 완료 시각이 2.2절의 계산 규칙을 독립적으로 구현한 스케줄 평가기의 결과와 일치하여, 모형이 문제 정의를 정확히 반영함을 확인하였다.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xml:space="preserve">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xml:space="preserve">    λ</m:t>
          </m:r>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하강 탐색(descent search).</w:t>
      </w:r>
      <w:r w:rsidRPr="00E80019">
        <w:rPr>
          <w:rFonts w:asciiTheme="minorEastAsia" w:hAnsiTheme="minorEastAsia"/>
        </w:rPr>
        <w:t xml:space="preserve">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w:t>
      </w:r>
      <w:r>
        <w:rPr>
          <w:rFonts w:asciiTheme="minorEastAsia" w:hAnsiTheme="minorEastAsia"/>
        </w:rPr>
        <w:t xml:space="preserve">45개 인스턴스 중 36개에서 탐욕적 규칙이 더 좋은 해를 찾아(양측 Wilcoxon </w:t>
      </w:r>
      <m:oMath>
        <m:r>
          <m:t>p</m:t>
        </m:r>
        <m:r>
          <m:rPr>
            <m:sty m:val="p"/>
          </m:rPr>
          <m:t>=</m:t>
        </m:r>
        <m:r>
          <m:t>0.0007</m:t>
        </m:r>
      </m:oMath>
      <w:r>
        <w:rPr>
          <w:rFonts w:asciiTheme="minorEastAsia" w:hAnsiTheme="minorEastAsia"/>
        </w:rPr>
        <w:t xml:space="preserve">) 이를 채택하였고, 시험 집합에서도 SA 수락 규칙을 추가하면 해가 유의하게 나빠졌다(&lt;Table 7&gt;).</w:t>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섭동 재시작(kick restart). 30회 연속 개선이 없으면 섭동 재시작을</w:t>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연산자 집합(operator pool). 기본 이웃 7종은 원 모델의 이웃 구조를 그대로 사용하며, 각각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배정하는 이동이다. 원 모델은 이동을 k1–k8로 번호매기나 k5는 정의하지 않아 실제 구현은 7종이다. 여기에 현재 병목을 먼저 식별한 뒤 그 주변에서 가능한 후보를 모두 평가해 최선을 택하는 유도 연산자(guided operator) 4종을 더한다. 유도 연산자는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대체)이다. 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r>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일정 확률로는 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사용하며, 각각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이다.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F</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r>
                <w:rPr>
                  <w:rFonts w:ascii="Cambria Math" w:hAnsi="Cambria Math"/>
                  <w:sz w:val="18"/>
                </w:rPr>
                <m:t>M</m:t>
              </m:r>
              <m:r>
                <m:rPr>
                  <m:sty m:val="p"/>
                </m:rPr>
                <w:rPr>
                  <w:rFonts w:ascii="Cambria Math" w:hAnsi="Cambria Math"/>
                  <w:sz w:val="18"/>
                </w:rPr>
                <m:t>|)</m:t>
              </m:r>
            </m:oMath>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oMath>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K</m:t>
              </m:r>
              <m:r>
                <m:rPr>
                  <m:sty m:val="p"/>
                </m:rPr>
                <w:rPr>
                  <w:rFonts w:ascii="Cambria Math" w:hAnsi="Cambria Math"/>
                  <w:sz w:val="18"/>
                </w:rPr>
                <m:t>|</m:t>
              </m:r>
            </m:oMath>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f</m:t>
                  </m:r>
                </m:e>
                <m:sub>
                  <m:r>
                    <w:rPr>
                      <w:rFonts w:ascii="Cambria Math" w:hAnsi="Cambria Math"/>
                      <w:sz w:val="18"/>
                    </w:rPr>
                    <m:t>i</m:t>
                  </m:r>
                  <m:r>
                    <w:rPr>
                      <w:rFonts w:ascii="Cambria Math" w:hAnsi="Cambria Math"/>
                      <w:sz w:val="18"/>
                    </w:rPr>
                    <m:t>d</m:t>
                  </m:r>
                  <m:r>
                    <w:rPr>
                      <w:rFonts w:ascii="Cambria Math" w:hAnsi="Cambria Math"/>
                      <w:sz w:val="18"/>
                    </w:rPr>
                    <m:t>k</m:t>
                  </m:r>
                </m:sub>
              </m:sSub>
            </m:oMath>
          </w:p>
        </w:tc>
        <w:tc>
          <w:tcPr>
            <w:tcW w:w="3312" w:type="dxa"/>
          </w:tcPr>
          <w:p w14:paraId="0239D57E"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[0,20]</m:t>
              </m:r>
            </m:oMath>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t</m:t>
                  </m:r>
                </m:e>
                <m:sub>
                  <m:r>
                    <w:rPr>
                      <w:rFonts w:ascii="Cambria Math" w:hAnsi="Cambria Math"/>
                      <w:sz w:val="18"/>
                    </w:rPr>
                    <m:t>k</m:t>
                  </m:r>
                </m:sub>
              </m:sSub>
            </m:oMath>
          </w:p>
        </w:tc>
        <w:tc>
          <w:tcPr>
            <w:tcW w:w="3312" w:type="dxa"/>
          </w:tcPr>
          <w:p w14:paraId="5C8EB40D"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[1,4]</m:t>
              </m:r>
            </m:oMath>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D</m:t>
                  </m:r>
                  <m:r>
                    <w:rPr>
                      <w:rFonts w:ascii="Cambria Math" w:hAnsi="Cambria Math"/>
                      <w:sz w:val="18"/>
                    </w:rPr>
                    <m:t>E</m:t>
                  </m:r>
                </m:e>
                <m:sub>
                  <m:r>
                    <w:rPr>
                      <w:rFonts w:ascii="Cambria Math" w:hAnsi="Cambria Math"/>
                      <w:sz w:val="18"/>
                    </w:rPr>
                    <m:t>q</m:t>
                  </m:r>
                </m:sub>
              </m:sSub>
              <m:r>
                <m:rPr>
                  <m:sty m:val="p"/>
                </m:rPr>
                <w:rPr>
                  <w:rFonts w:ascii="Cambria Math" w:hAnsi="Cambria Math"/>
                  <w:sz w:val="18"/>
                </w:rPr>
                <m:t>, </m:t>
              </m:r>
              <m:sSub>
                <m:sSubPr>
                  <m:ctrlPr>
                    <w:rPr>
                      <w:rFonts w:ascii="Cambria Math" w:hAnsi="Cambria Math"/>
                      <w:i/>
                      <w:sz w:val="18"/>
                    </w:rPr>
                  </m:ctrlPr>
                </m:sSubPr>
                <m:e>
                  <m:r>
                    <w:rPr>
                      <w:rFonts w:ascii="Cambria Math" w:hAnsi="Cambria Math"/>
                      <w:sz w:val="18"/>
                    </w:rPr>
                    <m:t>D</m:t>
                  </m:r>
                  <m:r>
                    <w:rPr>
                      <w:rFonts w:ascii="Cambria Math" w:hAnsi="Cambria Math"/>
                      <w:sz w:val="18"/>
                    </w:rPr>
                    <m:t>L</m:t>
                  </m:r>
                </m:e>
                <m:sub>
                  <m:r>
                    <w:rPr>
                      <w:rFonts w:ascii="Cambria Math" w:hAnsi="Cambria Math"/>
                      <w:sz w:val="18"/>
                    </w:rPr>
                    <m:t>q</m:t>
                  </m:r>
                </m:sub>
              </m:sSub>
            </m:oMath>
          </w:p>
        </w:tc>
        <w:tc>
          <w:tcPr>
            <w:tcW w:w="3312" w:type="dxa"/>
          </w:tcPr>
          <w:p w14:paraId="289A99E6"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[1,5]</m:t>
              </m:r>
            </m:oMath>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uniform on </w:t>
            </w:r>
            <m:oMath>
              <m:sSup>
                <m:sSupPr>
                  <m:ctrlPr>
                    <w:rPr>
                      <w:rFonts w:ascii="Cambria Math" w:hAnsi="Cambria Math"/>
                      <w:i/>
                      <w:sz w:val="18"/>
                    </w:rPr>
                  </m:ctrlPr>
                </m:sSupPr>
                <m:e>
                  <m:r>
                    <m:rPr>
                      <m:sty m:val="p"/>
                    </m:rPr>
                    <w:rPr>
                      <w:rFonts w:ascii="Cambria Math" w:hAnsi="Cambria Math"/>
                      <w:sz w:val="18"/>
                    </w:rPr>
                    <m:t>[0,100]</m:t>
                  </m:r>
                </m:e>
                <m:sup>
                  <m:r>
                    <m:rPr>
                      <m:sty m:val="p"/>
                    </m:rPr>
                    <w:rPr>
                      <w:rFonts w:ascii="Cambria Math" w:hAnsi="Cambria Math"/>
                      <w:sz w:val="18"/>
                    </w:rPr>
                    <m:t>2</m:t>
                  </m:r>
                </m:sup>
              </m:sSup>
            </m:oMath>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t</m:t>
                  </m:r>
                </m:e>
                <m:sub>
                  <m:r>
                    <w:rPr>
                      <w:rFonts w:ascii="Cambria Math" w:hAnsi="Cambria Math"/>
                      <w:sz w:val="18"/>
                    </w:rPr>
                    <m:t>m</m:t>
                  </m:r>
                  <m:r>
                    <w:rPr>
                      <w:rFonts w:ascii="Cambria Math" w:hAnsi="Cambria Math"/>
                      <w:sz w:val="18"/>
                    </w:rPr>
                    <m:t>n</m:t>
                  </m:r>
                </m:sub>
              </m:sSub>
            </m:oMath>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oMath>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0; otherwise </w:t>
            </w:r>
            <m:oMath>
              <m:r>
                <w:rPr>
                  <w:rFonts w:ascii="Cambria Math" w:hAnsi="Cambria Math"/>
                  <w:sz w:val="18"/>
                </w:rPr>
                <m:t>U</m:t>
              </m:r>
              <m:r>
                <m:rPr>
                  <m:sty m:val="p"/>
                </m:rPr>
                <w:rPr>
                  <w:rFonts w:ascii="Cambria Math" w:hAnsi="Cambria Math"/>
                  <w:sz w:val="18"/>
                </w:rPr>
                <m:t>[0,</m:t>
              </m:r>
              <m:r>
                <w:rPr>
                  <w:rFonts w:ascii="Cambria Math" w:hAnsi="Cambria Math"/>
                  <w:sz w:val="18"/>
                </w:rPr>
                <m:t>ρ</m:t>
              </m:r>
              <m:r>
                <w:rPr>
                  <w:rFonts w:ascii="Cambria Math" w:hAnsi="Cambria Math"/>
                  <w:sz w:val="18"/>
                </w:rPr>
                <m:t>H</m:t>
              </m:r>
              <m:r>
                <m:rPr>
                  <m:sty m:val="p"/>
                </m:rPr>
                <w:rPr>
                  <w:rFonts w:ascii="Cambria Math" w:hAnsi="Cambria Math"/>
                  <w:sz w:val="18"/>
                </w:rPr>
                <m:t>]</m:t>
              </m:r>
            </m:oMath>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acc>
                    <m:accPr>
                      <m:chr m:val="‾"/>
                      <m:ctrlPr>
                        <w:rPr>
                          <w:rFonts w:ascii="Cambria Math" w:hAnsi="Cambria Math"/>
                          <w:i/>
                          <w:sz w:val="18"/>
                        </w:rPr>
                      </m:ctrlPr>
                    </m:accPr>
                    <m:e>
                      <m:r>
                        <w:rPr>
                          <w:rFonts w:ascii="Cambria Math" w:hAnsi="Cambria Math"/>
                          <w:sz w:val="18"/>
                        </w:rPr>
                        <m:t>d</m:t>
                      </m:r>
                    </m:e>
                  </m:acc>
                </m:e>
                <m:sub>
                  <m:r>
                    <w:rPr>
                      <w:rFonts w:ascii="Cambria Math" w:hAnsi="Cambria Math"/>
                      <w:sz w:val="18"/>
                    </w:rPr>
                    <m:t>q</m:t>
                  </m:r>
                </m:sub>
              </m:sSub>
            </m:oMath>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 otherwise </w:t>
            </w: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r>
                <m:rPr>
                  <m:sty m:val="p"/>
                </m:rPr>
                <w:rPr>
                  <w:rFonts w:ascii="Cambria Math" w:hAnsi="Cambria Math"/>
                  <w:sz w:val="18"/>
                </w:rPr>
                <m:t> + </m:t>
              </m:r>
              <m:r>
                <w:rPr>
                  <w:rFonts w:ascii="Cambria Math" w:hAnsi="Cambria Math"/>
                  <w:sz w:val="18"/>
                </w:rPr>
                <m:t>δ</m:t>
              </m:r>
              <m:r>
                <w:rPr>
                  <w:rFonts w:ascii="Cambria Math" w:hAnsi="Cambria Math"/>
                  <w:sz w:val="18"/>
                </w:rPr>
                <m:t>H</m:t>
              </m:r>
            </m:oMath>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ρ</m:t>
              </m:r>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oMath>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생성 시드는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8개 스레드로 S에 300초(조건당 20개), M과 L에 600초(조건당 2개)를 부여하며, 최적성은 S-none 20개 전부와 S-medium 1개에서 증명된다. 보고하는 CP-SAT 계산 시간은 모형 구성과 solver 종료 처리를 포함한 실제 경과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정책을 포함한 전체 변형은 0.08–0.48%, 5.3절). 최적성이 증명된 S-none 20개 인스턴스에서 균등 선택 GILS는 최적해보다 평균 0.23%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1.44%(</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0.93%(</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실행 시간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m:t>p</m:t>
        </m:r>
        <m:r>
          <m:rPr>
            <m:sty m:val="p"/>
          </m:rPr>
          <m:t>&lt;</m:t>
        </m:r>
        <m:r>
          <m:t>0.0001</m:t>
        </m:r>
      </m:oMath>
      <w:r>
        <w:rPr>
          <w:rFonts w:asciiTheme="minorEastAsia" w:hAnsiTheme="minorEastAsia"/>
        </w:rPr>
        <w:t xml:space="preserve">) SA-RL5가 앞선 인스턴스는 180개 중 하나도 없었다.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1423.8 ± 383.8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1412.4 ± 382.0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5302.0 ± 1431.8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5259.4 ± 1412.1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9056.3 ± 2214.9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9011.9 ± 2206.5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2979.2 ± 860.9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2929.5 ± 844.2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22821.9 ± 3985.3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1.65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0.54</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22513.0 ± 3960.7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0.50</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38811.1 ± 11075.1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38501.1 ± 11067.3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5480.3 ± 1450.5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5383.9 ± 1423.8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55544.0 ± 17684.8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54825.9 ± 17531.9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119634.3 ± 31842.5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118863.6 ± 31785.2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2.45</w:t>
            </w:r>
          </w:p>
        </w:tc>
      </w:tr>
    </w:tbl>
    <w:p>
      <w:pPr>
        <w:rPr>
          <w:rFonts w:asciiTheme="minorEastAsia" w:hAnsiTheme="minorEastAsia"/>
        </w:rPr>
      </w:pP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558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935</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2.43</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1,491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+1.01</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994</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+1.30</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 xml:space="preserve">5.2 핵심 구성요소 분석</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+0.034%p로 작고(</w:t>
      </w:r>
      <m:oMath>
        <m:r>
          <m:t>p</m:t>
        </m:r>
        <m:r>
          <m:rPr>
            <m:sty m:val="p"/>
          </m:rPr>
          <m:t>=</m:t>
        </m:r>
        <m:r>
          <m:t>0.013</m:t>
        </m:r>
      </m:oMath>
      <w:r>
        <w:rPr>
          <w:rFonts w:asciiTheme="minorEastAsia" w:hAnsiTheme="minorEastAsia"/>
        </w:rPr>
        <w:t xml:space="preserve">), 시간 제약 유무로 나누면 유의하지 않아(</w:t>
      </w:r>
      <m:oMath>
        <m:r>
          <m:t>p</m:t>
        </m:r>
        <m:r>
          <m:rPr>
            <m:sty m:val="p"/>
          </m:rPr>
          <m:t>=</m:t>
        </m:r>
        <m:r>
          <m:t>0.051</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0.01%p 높다.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+0.150</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+0.034</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0.0130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+0.184</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엔진 구성요소.</w:t>
      </w:r>
      <w:r>
        <w:rPr>
          <w:rFonts w:asciiTheme="minorEastAsia" w:hAnsiTheme="minorEastAsia"/>
        </w:rPr>
        <w:t xml:space="preserve">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w:t>
      </w:r>
      <w:r>
        <w:rPr>
          <w:rFonts w:asciiTheme="minorEastAsia" w:hAnsiTheme="minorEastAsia"/>
        </w:rPr>
        <w:t xml:space="preserve">하강 탐색 제거의 악화(+0.064%p, </w:t>
      </w:r>
      <m:oMath>
        <m:r>
          <m:t>p</m:t>
        </m:r>
        <m:r>
          <m:rPr>
            <m:sty m:val="p"/>
          </m:rPr>
          <m:t>=</m:t>
        </m:r>
        <m:r>
          <m:t>0.002</m:t>
        </m:r>
      </m:oMath>
      <w:r>
        <w:rPr>
          <w:rFonts w:asciiTheme="minorEastAsia" w:hAnsiTheme="minorEastAsia"/>
        </w:rPr>
        <w:t xml:space="preserve">)는 유의하지만 재시작 제거의 약 1/6 수준이다. 무작위 초기해의 악화(+0.057%p, </w:t>
      </w:r>
      <m:oMath>
        <m:r>
          <m:t>p</m:t>
        </m:r>
        <m:r>
          <m:rPr>
            <m:sty m:val="p"/>
          </m:rPr>
          <m:t>=</m:t>
        </m:r>
        <m:r>
          <m:t>0.0495</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+0.064</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0.0016</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+0.375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+0.057</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0.0495</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+0.036</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0.0043</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 결과는 무제약 조건만 따로 보아도 같게 나타난다(균등 선택 대비 tabular −0.040%p, DQN −0.124%p, 모두 p&lt;0.0001).</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−0.040</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+0.093</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에서는 총 작업완료시간이 조금만 늘어나면서 납기지연이 거의 최소에 이르므로 이 값을 채택하였다. 이 값은 총 작업완료시간과 납기지연에 단위 시간당 동일한 벌점 계수를 부여한다. 다만 </w:t>
      </w:r>
      <w:r>
        <w:rPr>
          <w:rFonts w:asciiTheme="minorEastAsia" w:hAnsiTheme="minorEastAsia"/>
        </w:rPr>
        <w:t xml:space="preserve"/>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이 분석에는 조정 인스턴스만 사용하였으며, 시험 인스턴스는 사용하지 않았다.</w:t>
      </w:r>
      <w:r>
        <w:rPr>
          <w:rFonts w:asciiTheme="minorEastAsia" w:hAnsiTheme="minorEastAsia"/>
        </w:rPr>
        <w:t xml:space="preserve"/>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데에는 본 논문의 탐색 구조가 크게 작용한 것으로 보인다. 후보 하나의 평가에 수십–백수십 마이크로초(μs)밖에 들지 않아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w:t>
      </w:r>
      <w:r>
        <w:rPr>
          <w:rFonts w:asciiTheme="minorEastAsia" w:hAnsiTheme="minorEastAsia"/>
        </w:rPr>
        <w:t xml:space="preserve"/>
      </w:r>
      <w:r w:rsidRPr="00E80019">
        <w:rPr>
          <w:rFonts w:asciiTheme="minorEastAsia" w:hAnsiTheme="minorEastAsia"/>
        </w:rPr>
        <w:t xml:space="preserve"/>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결과를 학습 기반 선택 정책 전반으로 일반화하기는 어렵다. 다만 학습 기반 선택 정책을 평가할 때는 같은 엔진, 같은 반복 횟수 아래에서 균등 선택과 비교해야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Extended SA-RL5보다 좋은 해를 제공하였다. 실행 시간을 같게 맞춘 비교에서도 VAA-GILS는 SA-RL5보다 일관되게 우수하였다.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공개</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Code(Claude Opus 5 및 Claude Opus 5.5, Anthropic)를 원고 구성과 문장 표현의 개선, 수리모형 및 알고리즘 설명의 서술, 관련 문헌 탐색과 서지정보 확인, 계산 및 통계분석 코드의 작성과 검토를 위해 사용하였다. 저자는 해당 도구 사용 후 제안된 참고문헌, 수식, 소스코드, 실험 결과 및 해석을 모두 직접 검토 및 수정하였으며, 논문의 모든 내용에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