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480" w:lineRule="auto"/>
      </w:pPr>
      <w:r>
        <w:t>Abstract</w:t>
      </w:r>
    </w:p>
    <w:p w14:paraId="1DBC36E3" w14:textId="77777777" w:rsidR="009A7C2A" w:rsidRDefault="00000000">
      <w:pPr>
        <w:pStyle w:val="Abstract"/>
        <w:spacing w:line="480" w:lineRule="auto"/>
      </w:pPr>
      <w:r>
        <w:t xml:space="preserve">We study truck scheduling in a multi-door cross-dock where a compound truck is partially unloaded, then departs as the carrier for its retained destination. Prior studies imposed temporal constraints on trucks with fixed roles or on fully unloading compound trucks, whereas partial-unloading models minimize makespan with all trucks available at time zero. We develop MIP and CP-SAT formulations that minimize makespan and total tardiness under release times, soft due dates, carrier conversion, and freight-transfer precedence, so that late arrivals propagate tardiness through carriers waiting for freight. To our knowledge, no previous model combines these temporal constraints with retained-destination partial unloading and carrier conversion. VAA-GILS combines Vogel-style construction with bottleneck-guided local improvement. On the 62 instances with CP-SAT references, its gap is 0.10–0.23% in under 0.5 s, and it averages 0.23% above the 20 proven optima. Where CP-SAT finds no feasible schedule within 600 s, it outperforms all compared methods.</w:t>
      </w:r>
    </w:p>
    <w:p w14:paraId="58926347" w14:textId="77777777" w:rsidR="009A7C2A" w:rsidRDefault="00000000">
      <w:pPr>
        <w:pStyle w:val="Abstract"/>
        <w:spacing w:line="480" w:lineRule="auto"/>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480" w:lineRule="auto"/>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r>
      <w:r>
        <w:rPr>
          <w:b/>
          <w:bCs/>
        </w:rPr>
        <w:t xml:space="preserve"/>
      </w:r>
      <w:r>
        <w:rPr>
          <w:b/>
          <w:bCs/>
        </w:rPr>
        <w:t xml:space="preserve"/>
      </w:r>
      <w:r>
        <w:rPr>
          <w:b/>
          <w:bCs/>
        </w:rPr>
        <w:t xml:space="preserve"/>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도입한 병행 트럭(compound truck)은 한 대의 트럭이 입고와 출고 역할을 겸하는 형태이며, Shahmardan과 Sajadieh(2020)가 발전시킨 부분 하역 변형에서는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작업완료시간(makespan)을 크게 줄이는 것으로 보고되어 LTL(Less-Than-Truckload, 소량 화물 운송) 통합 네트워크에서 실용적 매력이 크다.</w:t>
      </w:r>
    </w:p>
    <w:p w14:paraId="3AD64636"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부분 하역 병행 트럭 모형(Shahmardan and Sajadieh, 2020)의 두 가정이 현실성을 제약한다. 첫째, 모든 트럭이 시각 0에 가용하다고 가정하지만 실제 도크에서는 트럭마다 예약 도착 시각(release time)이 다르다. 일반 크로스도킹 연구에서도 트럭 도착은 시간창(time window)이나 도착 구간으로 주어지는 것으로 다루어지며(Van Belle 등, 2013; Konur and Golias, 2013a; Ladier and Alpan, 2016), 도착 정보를 얼마나 알고 있는지가 스케줄 품질에 영향을 준다(Larbi 등, 2011). 둘째, 목적식이 순수 총 작업완료시간이지만 출고트럭의 출발은 위반 시 비용이 발생하는 납기(due date)에 묶여 있다. 출고 납기는 경성 제약으로 부과되거나(Molavi 등, 2018) 납기지연(tardiness)이나 지연 출발 비용으로 목적식에 반영되어 왔다(Van Belle 등, 2013; Rijal 등, 2019; Theophilus 등, 2021). 부분 하역 모형이 이 두 요소를 빼면 부분 하역의 이점이 실제 도착 시각과 출발 일정 아래에서도 유지되는지 평가할 수 없으므로, 두 가정을 완화한 모형이 필요하다.</w:t>
      </w:r>
    </w:p>
    <w:p w14:paraId="49505EA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도착 시각, 시간창, 납기지연은 일반 크로스도킹 스케줄링에서 이미 연구되어 왔고(Van Belle et al., 2013; Assadi and Bagheri, 2016; Bodnar et al., 2017; Molavi et al., 2018; Rijal et al., 2019; Li et al., 2026), 전량 하역 후 다시 적재하는 병행 트럭에도 트럭별 도착 시각(Ozden and Saricicek, 2019; Abtahi, 2025)과 연성 시간창(Ozden and Saricicek, 2019)이 도입되었다. 그러나 부분 하역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납기(soft due date)는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논문의 기여와 기존 연구 대비 차별성은 다음 세 가지이며, 대표 연구와의 비교는 &lt;Table 1&gt;에 정리하였다. 첫째, 문제 정식화의 차별성이다. 도착 시각이나 납기를 다룬 기존 연구(Van Belle 등, 2013; Assadi and Bagheri, 2016; Bodnar 등, 2017; Rijal 등, 2019; Theophilus 등, 2021; Li 등, 2026)는 모두 입고와 출고 역할이 고정된 트럭을 전제한다. 병행 트럭에 도착 시각을 둔 Ozden과 Saricicek(2019), Abtahi(2025)는 병행 트럭이 화물을 모두 하역한 뒤 다시 적재하는 구조이고, 부분 하역 병행 트럭 모형(Shahmardan and Sajadieh, 2020)과 병행 트럭 운영의 유연성을 다룬 Nowak과 Puladi(2025)는 모든 트럭이 시각 0에 가용하다고 보고 총 작업완료시간만 최소화한다. 즉 시간 제약을 다룬 계열과 부분 하역 병행 트럭 계열은 따로 발전해 왔다. 본 연구는 지정 목적지의 화물을 유지한 채 부분 하역한 병행 트럭이 그 목적지의 운송 트럭으로 전환되고, 다른 트럭에서 오는 이송 화물을 모두 받은 뒤에야 출발할 수 있는 구조에 트럭별 도착 시각과 연성 납기를 결합한 모형을 저자가 아는 한 처음 제시한다. 이 모형은 독립적인 스케줄 평가기와 일치하는 big-</w:t>
      </w:r>
      <m:oMath>
        <m:r>
          <m:t>M</m:t>
        </m:r>
      </m:oMath>
      <w:r>
        <w:rPr>
          <w:rFonts w:asciiTheme="minorEastAsia" w:hAnsiTheme="minorEastAsia"/>
        </w:rPr>
        <w:t xml:space="preserve"> MILP 및 reified CP-SAT로 정식화한다. 이 결합에서는 한 트럭의 늦은 도착이 공유 목적지를 통해 다른 운송 트럭의 납기지연으로 전파되므로, 두 계열 가운데 어느 한쪽 모형의 단순한 확장으로는 나타나지 않는 지연 구조가 생긴다. 둘째, 해법의 차별성이다. Shahmardan과 Sajadieh(2020)의 SA-RL5는 한 반복에 이동 하나를 simulated annealing으로 수락하는 순수 SA이고, 최근의 학습형 메타휴리스틱(Karimi-Mamaghan 등, 2023; Li 등, 2026)은 연산자 선택 자체를 학습한다. 본 연구는 원 모델의 VAA 구성 휴리스틱과 기본 이웃 구조에, 병목 트럭과 납기지연이 큰 트럭을 직접 겨냥하는 병목 유도 연산자(bottleneck-guided operator), 개선 시 적용하는 최선개선 하강 탐색(best-improvement descent), 섭동 재시작(kick restart)을 결합한 VAA-GILS를 제안하며, 이 해법은 같은 반복 횟수뿐 아니라 같은 실행 시간에서도 원 모델 계열의 해법보다 좋은 해를 찾는다. 셋째, 검증 방식의 차별성이다. 소형 무제약 조건의 20개 인스턴스 전부에서 CP-SAT로 최적성을 증명하여 휴리스틱의 최적해 대비 격차를 제시하고, 최적해와 기준해, 관측 최선해를 구분하여 보고한다. 또한 학습 기반 연산자 선택을 같은 엔진, 같은 반복 횟수의 균등 선택과 비교하는 통제된 ablation으로, 강한 지역탐색이 적용된 본 해법에서는 학습 기반 선택 정책의 추가적인 이득이 제한적임을 보조적으로 확인한다.</w:t>
      </w:r>
    </w:p>
    <w:p w14:paraId="29910F29"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b/>
          <w:bCs/>
        </w:rPr>
        <w:t>관련 연구.</w:t>
      </w:r>
      <w:r w:rsidRPr="00E80019">
        <w:rPr>
          <w:rFonts w:asciiTheme="minorEastAsia" w:hAnsiTheme="minorEastAsia"/>
        </w:rPr>
        <w:t xml:space="preserve"> 크로스도킹 도크 스케줄링은 Boysen과 Fliedner(2010)의 분류와 Van Belle 등(2012)의 연구 동향 정리에 요약되어 있다. 기존 입고트럭과 출고트럭을 다루는 결정론적 모형들은 time window와 납기지연(Van Belle 등, 2013), ready time과 조기완료 및 납기지연(Assadi and Bagheri, 2016), mixed-service door(Bodnar 등, 2017), 경성 납기(hard due date)(Molavi 등, 2018), 트럭 스케줄링과 도어 배정의 통합(Rijal 등, 2019), 트럭 도착 시각과 지연 출발 비용(Theophilus 등, 2021)처럼 시간 제약을 이미 반영한다. 다만 이들은 모두 입고트럭과 출고트럭을 구분하며, 부분 하역 후 출고 운송 트럭으로 전환되는 트럭은 모형화하지 않는다. 병행 트럭 계열의 후속 연구는 드물다. Ozden과 Saricicek(2019)은 입고, 출고, 병행 트럭의 도착 시각을 서로 다르게 두고 출고 적재의 연성 시간창에 대한 조기완료와 납기지연을 최소화하지만, 병행 트럭은 입고 도어에서 화물을 하역한 뒤 출고 도어로 이동해 다시 적재하므로 화물을 유지한 채 운송 트럭으로 전환되는 구조는 없다. Abtahi(2025)도 병행 트럭을 포함한 모든 트럭의 도착 시각을 서로 다르게 두지만, 병행 트럭은 하역 후 출고 구역으로 이동해 새 화물을 적재하며 목적식은 납기지연이 아니라 주어진 작업 시간 안에 적재되는 제품 수의 최대화이다. Nowak과 Puladi(2025)는 전량 하역 뒤 다시 적재되는 병행 트럭을 다루되 도착 시각과 납기를 두지 않고, Pan 등(2021)은 출고트럭의 반복 적재를 허용하되 모든 트럭이 시각 0에 가용하다고 가정한다. 도착 정보가 불확실한 경우를 다룬 연구도 있으나(Larbi 등, 2011; Konur and Golias, 2013a, 2013b; Ladier and Alpan, 2016; Xi 등, 2020), 본 모형은 결정론적이며 각 도착 시각이 스케줄 구성 시점에 알려져 있다고 본다.</w:t>
      </w:r>
    </w:p>
    <w:p w14:paraId="2DD9651F"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가장 가까운 연구는 Li 등(2026)으로, 무인 배송센터(distribution center)의 mixed service mode dock에서 통합 트럭 배정과 스케줄링을 Q-learning 기반 ALNS(adaptive large neighborhood search; Ropke and Pisinger, 2006)로 풀고 시간창</w:t>
      </w:r>
      <w:r w:rsidRPr="00E80019">
        <w:rPr>
          <w:rFonts w:asciiTheme="minorEastAsia" w:hAnsiTheme="minorEastAsia"/>
        </w:rPr>
        <w:t xml:space="preserve">과 납기지연, 총 작업완료시간을 함께 다룬다. 그러나 그 유연성은 도어 수준에 있어 도어가 적재 전용, 하역 전용, 혼합 모드 중 하나를 고르고 트럭은 순수 입고트럭이나 출고트럭으로 고정되며 화물은 저장 구역을 경유해 운반되는 반면, 본 문제의 유연성은 트럭 수준에 있어 부분 하역된 병행 트럭이 특정 목적지의 운송 트럭으로 전환되고 화물은 도어 간에 직접 이송된다. 한편 학습 기반 탐색 제어가 메타휴리스틱을 개선한다는 보고가 많으나(Karimi-Mamaghan 등, 2023; Li 등, 2024), 본 연구는 강한 지역탐색이 적용된 조건에서는 학습 기반 선택 정책의 추가적인 이득이 제한적임을 통제된 비교를 통해 확인한다. 대표 연구와 본 연구의 문제 및 해법 차이는 &lt;Table 1&gt;에 요약하였다.</w:t>
      </w: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1. Positioning of this study against representative cross-docking truck scheduling studies. Temporal constraints are truck arrival, release, due-date, or departure-time restrictions; "—" in the partial-unloading column denotes models without compound trucks.</w:t>
      </w:r>
    </w:p>
    <w:tbl>
      <w:tblPr>
        <w:tblStyle w:val="Table"/>
        <w:tblW w:w="885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750"/>
        <w:gridCol w:w="1600"/>
        <w:gridCol w:w="900"/>
        <w:gridCol w:w="1550"/>
        <w:gridCol w:w="1750"/>
        <w:gridCol w:w="130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Study</w:t>
            </w:r>
          </w:p>
        </w:tc>
        <w:tc>
          <w:tcPr>
            <w:tcW w:w="16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Truck roles</w:t>
            </w:r>
          </w:p>
        </w:tc>
        <w:tc>
          <w:tcPr>
            <w:tcW w:w="9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Partial unloading</w:t>
            </w:r>
          </w:p>
        </w:tc>
        <w:tc>
          <w:tcPr>
            <w:tcW w:w="15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Temporal constraints</w:t>
            </w:r>
          </w:p>
        </w:tc>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Objective</w:t>
            </w:r>
          </w:p>
        </w:tc>
        <w:tc>
          <w:tcPr>
            <w:tcW w:w="13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Solution method</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Van Belle et al. (2013)</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Travel time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Tabu search</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Assadi and Bagheri (2016)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Ready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DE, PBSA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Bodnar et al. (2017)</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Cost including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Ozden and Saricicek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Inbound/outbound/compound; separate receiving and shipping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soft 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MIP, SA, TS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Rijal et al.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and departure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 storage + travel cost</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Shahmardan and Sajadieh (2020)</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Heuristic, RL-based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Theophilus et al. (2021)</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scheduled departures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Total cost incl. delayed departure and decay</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Evolutionary algorithm</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Abtahi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Inbound/outbound/compound; separate receiving and shipping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Loaded quantity in a working period</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MIP,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Nowak and Puladi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mixed-service doors, preemption</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start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 VNS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Li et al. (2026)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mixed-mode docks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makespan, AGV travel</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Q-learning ALNS</w:t>
            </w:r>
          </w:p>
        </w:tc>
      </w:tr>
      <w:tr w:rsidR="009A7C2A" w:rsidRPr="00E80019" w:rsidTr="009A7C2A">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This study</w:t>
            </w:r>
          </w:p>
        </w:tc>
        <w:tc>
          <w:tcPr>
            <w:tcW w:w="16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w:t>
            </w:r>
          </w:p>
        </w:tc>
        <w:tc>
          <w:tcPr>
            <w:tcW w:w="9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Release times + soft due dates</w:t>
            </w:r>
          </w:p>
        </w:tc>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 + λ×tardiness</w:t>
            </w:r>
          </w:p>
        </w:tc>
        <w:tc>
          <w:tcPr>
            <w:tcW w:w="13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CP-SAT, VAA-GILS</w:t>
            </w:r>
          </w:p>
        </w:tc>
      </w:tr>
    </w:tbl>
    <w:p w14:paraId="00AD53F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본 논문의 구성은 다음과 같다. 제 2장에서 문제를 정의하며 혼합정수계획 모형과 CP-SAT 모형을 제시한다. 제 3장에서 제안 알고리즘인 VAA-GILS를 서술하고, 제 4장과 제 5장에서 실험 설계와 결과를 제시한다. 제 6장에서 결과를 논의하고 제 7장에서 결론을 맺는다.</w:t>
      </w:r>
    </w:p>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r w:rsidRPr="00E80019">
        <w:rPr>
          <w:rFonts w:asciiTheme="minorEastAsia" w:eastAsiaTheme="minorEastAsia" w:hAnsiTheme="minorEastAsia"/>
        </w:rPr>
        <w:lastRenderedPageBreak/>
        <w:t>2.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2.1 기호 정의</w:t>
      </w:r>
    </w:p>
    <w:p>
      <w:pPr>
        <w:pStyle w:val="FirstParagraph"/>
      </w:pPr>
      <w:r>
        <w:t xml:space="preserve">본 장의 정식화에 사용하는 기호를 집합, 파라미터, 결정변수로 나누어 아래 상자에 먼저 정리한다.</w:t>
      </w:r>
    </w:p>
    <w:tbl>
      <w:tblPr>
        <w:tblStyle w:val="Table"/>
        <w:tblW w:w="9000" w:type="dxa"/>
        <w:jc w:val="center"/>
        <w:tblBorders>
          <w:top w:val="single" w:sz="6" w:space="0" w:color="000000"/>
          <w:left w:val="single" w:sz="6" w:space="0" w:color="000000"/>
          <w:bottom w:val="single" w:sz="6" w:space="0" w:color="000000"/>
          <w:right w:val="single" w:sz="6" w:space="0" w:color="000000"/>
        </w:tblBorders>
        <w:tblLayout w:type="fixed"/>
        <w:tblLook w:firstRow="0" w:lastRow="0" w:firstColumn="0" w:lastColumn="0" w:noHBand="0" w:noVBand="0" w:val="0000"/>
      </w:tblPr>
      <w:tblGrid>
        <w:gridCol w:w="1900"/>
        <w:gridCol w:w="7100"/>
      </w:tblGrid>
      <w:tr>
        <w:tc>
          <w:tcPr>
            <w:tcW w:w="9000" w:type="dxa"/>
            <w:gridSpan w:val="2"/>
          </w:tcPr>
          <w:p>
            <w:pPr>
              <w:pStyle w:val="Compact"/>
              <w:spacing w:before="0" w:after="0" w:line="240" w:lineRule="auto"/>
            </w:pPr>
            <w:r>
              <w:rPr>
                <w:b/>
                <w:bCs/>
                <w:sz w:val="18"/>
              </w:rPr>
              <w:t xml:space="preserve">집합 (Sets)</w:t>
            </w:r>
          </w:p>
        </w:tc>
      </w:tr>
      <w:tr>
        <w:tc>
          <w:tcPr>
            <w:tcW w:w="1900" w:type="dxa"/>
          </w:tcPr>
          <w:p>
            <w:pPr>
              <w:pStyle w:val="Compact"/>
              <w:spacing w:before="0" w:after="0" w:line="240" w:lineRule="auto"/>
            </w:pPr>
            <m:oMath>
              <m:r>
                <m:t>I</m:t>
              </m:r>
            </m:oMath>
          </w:p>
        </w:tc>
        <w:tc>
          <w:tcPr>
            <w:tcW w:w="7100" w:type="dxa"/>
          </w:tcPr>
          <w:p>
            <w:pPr>
              <w:pStyle w:val="Compact"/>
              <w:spacing w:before="0" w:after="0" w:line="240" w:lineRule="auto"/>
            </w:pPr>
            <w:r>
              <w:rPr>
                <w:sz w:val="18"/>
              </w:rPr>
              <w:t xml:space="preserve">병행 트럭(compound truck)의 집합,</w:t>
            </w:r>
            <w:r>
              <w:rPr>
                <w:sz w:val="18"/>
              </w:rPr>
              <w:t xml:space="preserve"> </w:t>
            </w:r>
            <m:oMath>
              <m:r>
                <m:t>i</m:t>
              </m:r>
              <m:r>
                <m:rPr>
                  <m:sty m:val="p"/>
                </m:rPr>
                <m:t>,</m:t>
              </m:r>
              <m:r>
                <m:t>j</m:t>
              </m:r>
              <m:r>
                <m:rPr>
                  <m:sty m:val="p"/>
                </m:rPr>
                <m:t>∈</m:t>
              </m:r>
              <m:r>
                <m:t>I</m:t>
              </m:r>
            </m:oMath>
          </w:p>
        </w:tc>
      </w:tr>
      <w:tr>
        <w:tc>
          <w:tcPr>
            <w:tcW w:w="1900" w:type="dxa"/>
          </w:tcPr>
          <w:p>
            <w:pPr>
              <w:pStyle w:val="Compact"/>
              <w:spacing w:before="0" w:after="0" w:line="240" w:lineRule="auto"/>
            </w:pPr>
            <m:oMath>
              <m:r>
                <m:t>F</m:t>
              </m:r>
            </m:oMath>
          </w:p>
        </w:tc>
        <w:tc>
          <w:tcPr>
            <w:tcW w:w="7100" w:type="dxa"/>
          </w:tcPr>
          <w:p>
            <w:pPr>
              <w:pStyle w:val="Compact"/>
              <w:spacing w:before="0" w:after="0" w:line="240" w:lineRule="auto"/>
            </w:pPr>
            <w:r>
              <w:rPr>
                <w:sz w:val="18"/>
              </w:rPr>
              <w:t xml:space="preserve">출고트럭(outbound truck)의 집합,</w:t>
            </w:r>
            <w:r>
              <w:rPr>
                <w:sz w:val="18"/>
              </w:rPr>
              <w:t xml:space="preserve"> </w:t>
            </w:r>
            <m:oMath>
              <m:r>
                <m:t>f</m:t>
              </m:r>
              <m:r>
                <m:rPr>
                  <m:sty m:val="p"/>
                </m:rPr>
                <m:t>,</m:t>
              </m:r>
              <m:r>
                <m:t>g</m:t>
              </m:r>
              <m:r>
                <m:rPr>
                  <m:sty m:val="p"/>
                </m:rPr>
                <m:t>∈</m:t>
              </m:r>
              <m:r>
                <m:t>F</m:t>
              </m:r>
            </m:oMath>
          </w:p>
        </w:tc>
      </w:tr>
      <w:tr>
        <w:tc>
          <w:tcPr>
            <w:tcW w:w="1900" w:type="dxa"/>
          </w:tcPr>
          <w:p>
            <w:pPr>
              <w:pStyle w:val="Compact"/>
              <w:spacing w:before="0" w:after="0" w:line="240" w:lineRule="auto"/>
            </w:pPr>
            <m:oMath>
              <m:r>
                <m:t>D</m:t>
              </m:r>
            </m:oMath>
          </w:p>
        </w:tc>
        <w:tc>
          <w:tcPr>
            <w:tcW w:w="7100" w:type="dxa"/>
          </w:tcPr>
          <w:p>
            <w:pPr>
              <w:pStyle w:val="Compact"/>
              <w:spacing w:before="0" w:after="0" w:line="240" w:lineRule="auto"/>
            </w:pPr>
            <w:r>
              <w:rPr>
                <w:sz w:val="18"/>
              </w:rPr>
              <w:t xml:space="preserve">목적지의 집합,</w:t>
            </w:r>
            <w:r>
              <w:rPr>
                <w:sz w:val="18"/>
              </w:rPr>
              <w:t xml:space="preserve"> </w:t>
            </w:r>
            <m:oMath>
              <m:r>
                <m:t>d</m:t>
              </m:r>
              <m:r>
                <m:rPr>
                  <m:sty m:val="p"/>
                </m:rPr>
                <m:t>∈</m:t>
              </m:r>
              <m:r>
                <m:t>D</m:t>
              </m:r>
            </m:oMath>
            <w:r>
              <w:rPr>
                <w:sz w:val="18"/>
              </w:rPr>
              <w:t xml:space="preserve">; 각 목적지에는 운송 트럭이 정확히 한 대 배정되므로</w:t>
            </w:r>
            <w:r>
              <w:rPr>
                <w:sz w:val="18"/>
              </w:rPr>
              <w:t xml:space="preserve"> </w:t>
            </w:r>
            <m:oMath>
              <m:r>
                <m:rPr>
                  <m:sty m:val="p"/>
                </m:rPr>
                <m:t>|</m:t>
              </m:r>
              <m:r>
                <m:t>D</m:t>
              </m:r>
              <m:r>
                <m:rPr>
                  <m:sty m:val="p"/>
                </m:rPr>
                <m:t>|</m:t>
              </m:r>
              <m:r>
                <m:rPr>
                  <m:sty m:val="p"/>
                </m:rPr>
                <m:t>=</m:t>
              </m:r>
              <m:r>
                <m:rPr>
                  <m:sty m:val="p"/>
                </m:rPr>
                <m:t>|</m:t>
              </m:r>
              <m:r>
                <m:t>I</m:t>
              </m:r>
              <m:r>
                <m:rPr>
                  <m:sty m:val="p"/>
                </m:rPr>
                <m:t>|</m:t>
              </m:r>
              <m:r>
                <m:rPr>
                  <m:sty m:val="p"/>
                </m:rPr>
                <m:t>+</m:t>
              </m:r>
              <m:r>
                <m:rPr>
                  <m:sty m:val="p"/>
                </m:rPr>
                <m:t>|</m:t>
              </m:r>
              <m:r>
                <m:t>F</m:t>
              </m:r>
              <m:r>
                <m:rPr>
                  <m:sty m:val="p"/>
                </m:rPr>
                <m:t>|</m:t>
              </m:r>
            </m:oMath>
          </w:p>
        </w:tc>
      </w:tr>
      <w:tr>
        <w:tc>
          <w:tcPr>
            <w:tcW w:w="1900" w:type="dxa"/>
          </w:tcPr>
          <w:p>
            <w:pPr>
              <w:pStyle w:val="Compact"/>
              <w:spacing w:before="0" w:after="0" w:line="240" w:lineRule="auto"/>
            </w:pPr>
            <m:oMath>
              <m:r>
                <m:t>K</m:t>
              </m:r>
            </m:oMath>
          </w:p>
        </w:tc>
        <w:tc>
          <w:tcPr>
            <w:tcW w:w="7100" w:type="dxa"/>
          </w:tcPr>
          <w:p>
            <w:pPr>
              <w:pStyle w:val="Compact"/>
              <w:spacing w:before="0" w:after="0" w:line="240" w:lineRule="auto"/>
            </w:pPr>
            <w:r>
              <w:rPr>
                <w:sz w:val="18"/>
              </w:rPr>
              <w:t xml:space="preserve">상품 종류의 집합,</w:t>
            </w:r>
            <w:r>
              <w:rPr>
                <w:sz w:val="18"/>
              </w:rPr>
              <w:t xml:space="preserve"> </w:t>
            </w:r>
            <m:oMath>
              <m:r>
                <m:t>k</m:t>
              </m:r>
              <m:r>
                <m:rPr>
                  <m:sty m:val="p"/>
                </m:rPr>
                <m:t>∈</m:t>
              </m:r>
              <m:r>
                <m:t>K</m:t>
              </m:r>
            </m:oMath>
          </w:p>
        </w:tc>
      </w:tr>
      <w:tr>
        <w:tc>
          <w:tcPr>
            <w:tcW w:w="1900" w:type="dxa"/>
          </w:tcPr>
          <w:p>
            <w:pPr>
              <w:pStyle w:val="Compact"/>
              <w:spacing w:before="0" w:after="0" w:line="240" w:lineRule="auto"/>
            </w:pPr>
            <m:oMath>
              <m:r>
                <m:t>M</m:t>
              </m:r>
            </m:oMath>
          </w:p>
        </w:tc>
        <w:tc>
          <w:tcPr>
            <w:tcW w:w="7100" w:type="dxa"/>
          </w:tcPr>
          <w:p>
            <w:pPr>
              <w:pStyle w:val="Compact"/>
              <w:spacing w:before="0" w:after="0" w:line="240" w:lineRule="auto"/>
            </w:pPr>
            <w:r>
              <w:rPr>
                <w:sz w:val="18"/>
              </w:rPr>
              <w:t xml:space="preserve">도어의 집합,</w:t>
            </w:r>
            <w:r>
              <w:rPr>
                <w:sz w:val="18"/>
              </w:rPr>
              <w:t xml:space="preserve"> </w:t>
            </w:r>
            <m:oMath>
              <m:r>
                <m:t>m</m:t>
              </m:r>
              <m:r>
                <m:rPr>
                  <m:sty m:val="p"/>
                </m:rPr>
                <m:t>,</m:t>
              </m:r>
              <m:r>
                <m:t>n</m:t>
              </m:r>
              <m:r>
                <m:rPr>
                  <m:sty m:val="p"/>
                </m:rPr>
                <m:t>∈</m:t>
              </m:r>
              <m:r>
                <m:t>M</m:t>
              </m:r>
            </m:oMath>
            <w:r>
              <w:rPr>
                <w:sz w:val="18"/>
              </w:rPr>
              <w:t xml:space="preserve">;</w:t>
            </w:r>
            <w:r>
              <w:rPr>
                <w:sz w:val="18"/>
              </w:rPr>
              <w:t xml:space="preserve"> </w:t>
            </w:r>
            <m:oMath>
              <m:r>
                <m:rPr>
                  <m:sty m:val="p"/>
                </m:rPr>
                <m:t>|</m:t>
              </m:r>
              <m:r>
                <m:t>I</m:t>
              </m:r>
              <m:r>
                <m:rPr>
                  <m:sty m:val="p"/>
                </m:rPr>
                <m:t>|</m:t>
              </m:r>
              <m:r>
                <m:rPr>
                  <m:sty m:val="p"/>
                </m:rPr>
                <m:t>≤</m:t>
              </m:r>
              <m:r>
                <m:rPr>
                  <m:sty m:val="p"/>
                </m:rPr>
                <m:t>|</m:t>
              </m:r>
              <m:r>
                <m:t>M</m:t>
              </m:r>
              <m:r>
                <m:rPr>
                  <m:sty m:val="p"/>
                </m:rPr>
                <m:t>|</m:t>
              </m:r>
            </m:oMath>
          </w:p>
        </w:tc>
      </w:tr>
      <w:tr>
        <w:tc>
          <w:tcPr>
            <w:tcW w:w="1900" w:type="dxa"/>
          </w:tcPr>
          <w:p>
            <w:pPr>
              <w:pStyle w:val="Compact"/>
              <w:spacing w:before="0" w:after="0" w:line="240" w:lineRule="auto"/>
            </w:pPr>
            <m:oMath>
              <m:r>
                <m:t>I</m:t>
              </m:r>
              <m:r>
                <m:rPr>
                  <m:sty m:val="p"/>
                </m:rPr>
                <m:t>∪</m:t>
              </m:r>
              <m:r>
                <m:t>F</m:t>
              </m:r>
            </m:oMath>
          </w:p>
        </w:tc>
        <w:tc>
          <w:tcPr>
            <w:tcW w:w="7100" w:type="dxa"/>
          </w:tcPr>
          <w:p>
            <w:pPr>
              <w:pStyle w:val="Compact"/>
              <w:spacing w:before="0" w:after="0" w:line="240" w:lineRule="auto"/>
            </w:pPr>
            <w:r>
              <w:rPr>
                <w:sz w:val="18"/>
              </w:rPr>
              <w:t xml:space="preserve">전체 트럭의 집합,</w:t>
            </w:r>
            <w:r>
              <w:rPr>
                <w:sz w:val="18"/>
              </w:rPr>
              <w:t xml:space="preserve"> </w:t>
            </w:r>
            <m:oMath>
              <m:r>
                <m:t>q</m:t>
              </m:r>
              <m:r>
                <m:rPr>
                  <m:sty m:val="p"/>
                </m:rPr>
                <m:t>∈</m:t>
              </m:r>
              <m:r>
                <m:t>I</m:t>
              </m:r>
              <m:r>
                <m:rPr>
                  <m:sty m:val="p"/>
                </m:rPr>
                <m:t>∪</m:t>
              </m:r>
              <m:r>
                <m:t>F</m:t>
              </m:r>
            </m:oMath>
          </w:p>
        </w:tc>
      </w:tr>
      <w:tr>
        <w:tc>
          <w:tcPr>
            <w:tcW w:w="9000" w:type="dxa"/>
            <w:gridSpan w:val="2"/>
          </w:tcPr>
          <w:p>
            <w:pPr>
              <w:pStyle w:val="Compact"/>
              <w:spacing w:before="0" w:after="0" w:line="240" w:lineRule="auto"/>
            </w:pPr>
            <w:r>
              <w:rPr>
                <w:b/>
                <w:bCs/>
                <w:sz w:val="18"/>
              </w:rPr>
              <w:t xml:space="preserve">파라미터 (Parameters)</w:t>
            </w:r>
          </w:p>
        </w:tc>
      </w:tr>
      <w:tr>
        <w:tc>
          <w:tcPr>
            <w:tcW w:w="1900" w:type="dxa"/>
          </w:tcPr>
          <w:p>
            <w:pPr>
              <w:pStyle w:val="Compact"/>
              <w:spacing w:before="0" w:after="0" w:line="240" w:lineRule="auto"/>
            </w:pPr>
            <m:oMath>
              <m:sSub>
                <m:e>
                  <m:r>
                    <m:t>f</m:t>
                  </m:r>
                </m:e>
                <m:sub>
                  <m:r>
                    <m:t>i</m:t>
                  </m:r>
                  <m:r>
                    <m:t>d</m:t>
                  </m:r>
                  <m:r>
                    <m:t>k</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싣고 온 목적지</w:t>
            </w:r>
            <w:r>
              <w:rPr>
                <w:sz w:val="18"/>
              </w:rPr>
              <w:t xml:space="preserve"> </w:t>
            </w:r>
            <m:oMath>
              <m:r>
                <m:t>d</m:t>
              </m:r>
            </m:oMath>
            <w:r>
              <w:rPr>
                <w:sz w:val="18"/>
              </w:rPr>
              <w:t xml:space="preserve">행 상품</w:t>
            </w:r>
            <w:r>
              <w:rPr>
                <w:sz w:val="18"/>
              </w:rPr>
              <w:t xml:space="preserve"> </w:t>
            </w:r>
            <m:oMath>
              <m:r>
                <m:t>k</m:t>
              </m:r>
            </m:oMath>
            <w:r>
              <w:rPr>
                <w:sz w:val="18"/>
              </w:rPr>
              <w:t xml:space="preserve">의 화물량</w:t>
            </w:r>
          </w:p>
        </w:tc>
      </w:tr>
      <w:tr>
        <w:tc>
          <w:tcPr>
            <w:tcW w:w="1900" w:type="dxa"/>
          </w:tcPr>
          <w:p>
            <w:pPr>
              <w:pStyle w:val="Compact"/>
              <w:spacing w:before="0" w:after="0" w:line="240" w:lineRule="auto"/>
            </w:pPr>
            <m:oMath>
              <m:sSub>
                <m:e>
                  <m:r>
                    <m:t>t</m:t>
                  </m:r>
                </m:e>
                <m:sub>
                  <m:r>
                    <m:t>k</m:t>
                  </m:r>
                </m:sub>
              </m:sSub>
            </m:oMath>
          </w:p>
        </w:tc>
        <w:tc>
          <w:tcPr>
            <w:tcW w:w="7100" w:type="dxa"/>
          </w:tcPr>
          <w:p>
            <w:pPr>
              <w:pStyle w:val="Compact"/>
              <w:spacing w:before="0" w:after="0" w:line="240" w:lineRule="auto"/>
            </w:pPr>
            <w:r>
              <w:rPr>
                <w:sz w:val="18"/>
              </w:rPr>
              <w:t xml:space="preserve">상품</w:t>
            </w:r>
            <w:r>
              <w:rPr>
                <w:sz w:val="18"/>
              </w:rPr>
              <w:t xml:space="preserve"> </w:t>
            </w:r>
            <m:oMath>
              <m:r>
                <m:t>k</m:t>
              </m:r>
            </m:oMath>
            <w:r>
              <w:rPr>
                <w:sz w:val="18"/>
              </w:rPr>
              <w:t xml:space="preserve">의 단위 처리시간</w:t>
            </w:r>
          </w:p>
        </w:tc>
      </w:tr>
      <w:tr>
        <w:tc>
          <w:tcPr>
            <w:tcW w:w="1900" w:type="dxa"/>
          </w:tcPr>
          <w:p>
            <w:pPr>
              <w:pStyle w:val="Compact"/>
              <w:spacing w:before="0" w:after="0" w:line="240" w:lineRule="auto"/>
            </w:pPr>
            <m:oMath>
              <m:sSub>
                <m:e>
                  <m:r>
                    <m:t>t</m:t>
                  </m:r>
                </m:e>
                <m:sub>
                  <m:r>
                    <m:t>m</m:t>
                  </m:r>
                  <m:r>
                    <m:t>n</m:t>
                  </m:r>
                </m:sub>
              </m:sSub>
            </m:oMath>
          </w:p>
        </w:tc>
        <w:tc>
          <w:tcPr>
            <w:tcW w:w="7100" w:type="dxa"/>
          </w:tcPr>
          <w:p>
            <w:pPr>
              <w:pStyle w:val="Compact"/>
              <w:spacing w:before="0" w:after="0" w:line="240" w:lineRule="auto"/>
            </w:pPr>
            <w:r>
              <w:rPr>
                <w:sz w:val="18"/>
              </w:rPr>
              <w:t xml:space="preserve">도어</w:t>
            </w:r>
            <w:r>
              <w:rPr>
                <w:sz w:val="18"/>
              </w:rPr>
              <w:t xml:space="preserve"> </w:t>
            </w:r>
            <m:oMath>
              <m:r>
                <m:t>m</m:t>
              </m:r>
            </m:oMath>
            <w:r>
              <w:rPr>
                <w:sz w:val="18"/>
              </w:rPr>
              <w:t xml:space="preserve">과</w:t>
            </w:r>
            <w:r>
              <w:rPr>
                <w:sz w:val="18"/>
              </w:rPr>
              <w:t xml:space="preserve"> </w:t>
            </w:r>
            <m:oMath>
              <m:r>
                <m:t>n</m:t>
              </m:r>
            </m:oMath>
            <w:r>
              <w:rPr>
                <w:sz w:val="18"/>
              </w:rPr>
              <w:t xml:space="preserve"> </w:t>
            </w:r>
            <w:r>
              <w:rPr>
                <w:sz w:val="18"/>
              </w:rPr>
              <w:t xml:space="preserve">사이의 배치 이송시간</w:t>
            </w:r>
          </w:p>
        </w:tc>
      </w:tr>
      <w:tr>
        <w:tc>
          <w:tcPr>
            <w:tcW w:w="1900" w:type="dxa"/>
          </w:tcPr>
          <w:p>
            <w:pPr>
              <w:pStyle w:val="Compact"/>
              <w:spacing w:before="0" w:after="0" w:line="240" w:lineRule="auto"/>
            </w:pPr>
            <m:oMath>
              <m:r>
                <m:t>D</m:t>
              </m:r>
              <m:sSub>
                <m:e>
                  <m:r>
                    <m:t>E</m:t>
                  </m:r>
                </m:e>
                <m:sub>
                  <m:r>
                    <m:t>q</m:t>
                  </m:r>
                </m:sub>
              </m:sSub>
            </m:oMath>
            <w:r>
              <w:rPr>
                <w:sz w:val="18"/>
              </w:rPr>
              <w:t xml:space="preserve">,</w:t>
            </w:r>
            <w:r>
              <w:rPr>
                <w:sz w:val="18"/>
              </w:rPr>
              <w:t xml:space="preserve"> </w:t>
            </w:r>
            <m:oMath>
              <m:r>
                <m:t>D</m:t>
              </m:r>
              <m:sSub>
                <m:e>
                  <m:r>
                    <m:t>L</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도어 진입 전환시간과 출차 전환시간</w:t>
            </w:r>
          </w:p>
        </w:tc>
      </w:tr>
      <w:tr>
        <w:tc>
          <w:tcPr>
            <w:tcW w:w="1900" w:type="dxa"/>
          </w:tcPr>
          <w:p>
            <w:pPr>
              <w:pStyle w:val="Compact"/>
              <w:spacing w:before="0" w:after="0" w:line="240" w:lineRule="auto"/>
            </w:pPr>
            <m:oMath>
              <m:sSub>
                <m:e>
                  <m:r>
                    <m:t>h</m:t>
                  </m:r>
                </m:e>
                <m:sub>
                  <m:r>
                    <m:t>i</m:t>
                  </m:r>
                  <m:r>
                    <m:t>d</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목적지</w:t>
            </w:r>
            <w:r>
              <w:rPr>
                <w:sz w:val="18"/>
              </w:rPr>
              <w:t xml:space="preserve"> </w:t>
            </w:r>
            <m:oMath>
              <m:r>
                <m:t>d</m:t>
              </m:r>
            </m:oMath>
            <w:r>
              <w:rPr>
                <w:sz w:val="18"/>
              </w:rPr>
              <w:t xml:space="preserve">행 화물 처리시간,</w:t>
            </w:r>
            <w:r>
              <w:rPr>
                <w:sz w:val="18"/>
              </w:rPr>
              <w:t xml:space="preserve"> </w:t>
            </w:r>
            <m:oMath>
              <m:sSub>
                <m:e>
                  <m:r>
                    <m:t>h</m:t>
                  </m:r>
                </m:e>
                <m:sub>
                  <m:r>
                    <m:t>i</m:t>
                  </m:r>
                  <m:r>
                    <m:t>d</m:t>
                  </m:r>
                </m:sub>
              </m:sSub>
              <m:r>
                <m:rPr>
                  <m:sty m:val="p"/>
                </m:rPr>
                <m:t>=</m:t>
              </m:r>
              <m:nary>
                <m:naryPr>
                  <m:chr m:val="∑"/>
                  <m:limLoc m:val="undOvr"/>
                  <m:subHide m:val="off"/>
                  <m:supHide m:val="on"/>
                </m:naryPr>
                <m:sub>
                  <m:r>
                    <m:t>k</m:t>
                  </m:r>
                  <m:r>
                    <m:rPr>
                      <m:sty m:val="p"/>
                    </m:rPr>
                    <m:t>∈</m:t>
                  </m:r>
                  <m:r>
                    <m:t>K</m:t>
                  </m:r>
                </m:sub>
                <m:sup>
                  <m:r>
                    <m:t>​</m:t>
                  </m:r>
                </m:sup>
                <m:e>
                  <m:sSub>
                    <m:e>
                      <m:r>
                        <m:t>f</m:t>
                      </m:r>
                    </m:e>
                    <m:sub>
                      <m:r>
                        <m:t>i</m:t>
                      </m:r>
                      <m:r>
                        <m:t>d</m:t>
                      </m:r>
                      <m:r>
                        <m:t>k</m:t>
                      </m:r>
                    </m:sub>
                  </m:sSub>
                </m:e>
              </m:nary>
              <m:sSub>
                <m:e>
                  <m:r>
                    <m:t>t</m:t>
                  </m:r>
                </m:e>
                <m:sub>
                  <m:r>
                    <m:t>k</m:t>
                  </m:r>
                </m:sub>
              </m:sSub>
            </m:oMath>
          </w:p>
        </w:tc>
      </w:tr>
      <w:tr>
        <w:tc>
          <w:tcPr>
            <w:tcW w:w="1900" w:type="dxa"/>
          </w:tcPr>
          <w:p>
            <w:pPr>
              <w:pStyle w:val="Compact"/>
              <w:spacing w:before="0" w:after="0" w:line="240" w:lineRule="auto"/>
            </w:pPr>
            <m:oMath>
              <m:sSub>
                <m:e>
                  <m:r>
                    <m:t>H</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전체 화물 처리시간,</w:t>
            </w:r>
            <w:r>
              <w:rPr>
                <w:sz w:val="18"/>
              </w:rPr>
              <w:t xml:space="preserve"> </w:t>
            </w:r>
            <m:oMath>
              <m:sSub>
                <m:e>
                  <m:r>
                    <m:t>H</m:t>
                  </m:r>
                </m:e>
                <m:sub>
                  <m:r>
                    <m:t>i</m:t>
                  </m:r>
                </m:sub>
              </m:sSub>
              <m:r>
                <m:rPr>
                  <m:sty m:val="p"/>
                </m:rPr>
                <m:t>=</m:t>
              </m:r>
              <m:nary>
                <m:naryPr>
                  <m:chr m:val="∑"/>
                  <m:limLoc m:val="undOvr"/>
                  <m:subHide m:val="off"/>
                  <m:supHide m:val="on"/>
                </m:naryPr>
                <m:sub>
                  <m:r>
                    <m:t>d</m:t>
                  </m:r>
                  <m:r>
                    <m:rPr>
                      <m:sty m:val="p"/>
                    </m:rPr>
                    <m:t>∈</m:t>
                  </m:r>
                  <m:r>
                    <m:t>D</m:t>
                  </m:r>
                </m:sub>
                <m:sup>
                  <m:r>
                    <m:t>​</m:t>
                  </m:r>
                </m:sup>
                <m:e>
                  <m:sSub>
                    <m:e>
                      <m:r>
                        <m:t>h</m:t>
                      </m:r>
                    </m:e>
                    <m:sub>
                      <m:r>
                        <m:t>i</m:t>
                      </m:r>
                      <m:r>
                        <m:t>d</m:t>
                      </m:r>
                    </m:sub>
                  </m:sSub>
                </m:e>
              </m:nary>
            </m:oMath>
          </w:p>
        </w:tc>
      </w:tr>
      <w:tr>
        <w:tc>
          <w:tcPr>
            <w:tcW w:w="1900" w:type="dxa"/>
          </w:tcPr>
          <w:p>
            <w:pPr>
              <w:pStyle w:val="Compact"/>
              <w:spacing w:before="0" w:after="0" w:line="240" w:lineRule="auto"/>
            </w:pPr>
            <m:oMath>
              <m:sSub>
                <m:e>
                  <m:r>
                    <m:t>L</m:t>
                  </m:r>
                </m:e>
                <m:sub>
                  <m:r>
                    <m:t>d</m:t>
                  </m:r>
                </m:sub>
              </m:sSub>
            </m:oMath>
          </w:p>
        </w:tc>
        <w:tc>
          <w:tcPr>
            <w:tcW w:w="7100" w:type="dxa"/>
          </w:tcPr>
          <w:p>
            <w:pPr>
              <w:pStyle w:val="Compact"/>
              <w:spacing w:before="0" w:after="0" w:line="240" w:lineRule="auto"/>
            </w:pPr>
            <w:r>
              <w:rPr>
                <w:sz w:val="18"/>
              </w:rPr>
              <w:t xml:space="preserve">목적지</w:t>
            </w:r>
            <w:r>
              <w:rPr>
                <w:sz w:val="18"/>
              </w:rPr>
              <w:t xml:space="preserve"> </w:t>
            </w:r>
            <m:oMath>
              <m:r>
                <m:t>d</m:t>
              </m:r>
            </m:oMath>
            <w:r>
              <w:rPr>
                <w:sz w:val="18"/>
              </w:rPr>
              <w:t xml:space="preserve">행 전체 화물의 적재시간,</w:t>
            </w:r>
            <w:r>
              <w:rPr>
                <w:sz w:val="18"/>
              </w:rPr>
              <w:t xml:space="preserve"> </w:t>
            </w:r>
            <m:oMath>
              <m:sSub>
                <m:e>
                  <m:r>
                    <m:t>L</m:t>
                  </m:r>
                </m:e>
                <m:sub>
                  <m:r>
                    <m:t>d</m:t>
                  </m:r>
                </m:sub>
              </m:sSub>
              <m:r>
                <m:rPr>
                  <m:sty m:val="p"/>
                </m:rPr>
                <m:t>=</m:t>
              </m:r>
              <m:nary>
                <m:naryPr>
                  <m:chr m:val="∑"/>
                  <m:limLoc m:val="undOvr"/>
                  <m:subHide m:val="off"/>
                  <m:supHide m:val="on"/>
                </m:naryPr>
                <m:sub>
                  <m:r>
                    <m:t>i</m:t>
                  </m:r>
                  <m:r>
                    <m:rPr>
                      <m:sty m:val="p"/>
                    </m:rPr>
                    <m:t>∈</m:t>
                  </m:r>
                  <m:r>
                    <m:t>I</m:t>
                  </m:r>
                </m:sub>
                <m:sup>
                  <m:r>
                    <m:t>​</m:t>
                  </m:r>
                </m:sup>
                <m:e>
                  <m:sSub>
                    <m:e>
                      <m:r>
                        <m:t>h</m:t>
                      </m:r>
                    </m:e>
                    <m:sub>
                      <m:r>
                        <m:t>i</m:t>
                      </m:r>
                      <m:r>
                        <m:t>d</m:t>
                      </m:r>
                    </m:sub>
                  </m:sSub>
                </m:e>
              </m:nary>
            </m:oMath>
          </w:p>
        </w:tc>
      </w:tr>
      <w:tr>
        <w:tc>
          <w:tcPr>
            <w:tcW w:w="1900" w:type="dxa"/>
          </w:tcPr>
          <w:p>
            <w:pPr>
              <w:pStyle w:val="Compact"/>
              <w:spacing w:before="0" w:after="0" w:line="240" w:lineRule="auto"/>
            </w:pPr>
            <m:oMath>
              <m:sSub>
                <m:e>
                  <m:r>
                    <m:t>L</m:t>
                  </m:r>
                </m:e>
                <m:sub>
                  <m:r>
                    <m:t>i</m:t>
                  </m:r>
                  <m:r>
                    <m:t>d</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목적지</w:t>
            </w:r>
            <w:r>
              <w:rPr>
                <w:sz w:val="18"/>
              </w:rPr>
              <w:t xml:space="preserve"> </w:t>
            </w:r>
            <m:oMath>
              <m:r>
                <m:t>d</m:t>
              </m:r>
            </m:oMath>
            <w:r>
              <w:rPr>
                <w:sz w:val="18"/>
              </w:rPr>
              <w:t xml:space="preserve">를 유지할 때 다른 병행 트럭에서 옮겨 실을 화물의 적재시간,</w:t>
            </w:r>
            <w:r>
              <w:rPr>
                <w:sz w:val="18"/>
              </w:rPr>
              <w:t xml:space="preserve"> </w:t>
            </w:r>
            <m:oMath>
              <m:sSub>
                <m:e>
                  <m:r>
                    <m:t>L</m:t>
                  </m:r>
                </m:e>
                <m:sub>
                  <m:r>
                    <m:t>i</m:t>
                  </m:r>
                  <m:r>
                    <m:t>d</m:t>
                  </m:r>
                </m:sub>
              </m:sSub>
              <m:r>
                <m:rPr>
                  <m:sty m:val="p"/>
                </m:rPr>
                <m:t>=</m:t>
              </m:r>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oMath>
          </w:p>
        </w:tc>
      </w:tr>
      <w:tr>
        <w:tc>
          <w:tcPr>
            <w:tcW w:w="1900" w:type="dxa"/>
          </w:tcPr>
          <w:p>
            <w:pPr>
              <w:pStyle w:val="Compact"/>
              <w:spacing w:before="0" w:after="0" w:line="240" w:lineRule="auto"/>
            </w:pPr>
            <m:oMath>
              <m:sSub>
                <m:e>
                  <m:r>
                    <m:t>r</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도착 시각(release time), 즉 도어 작업을 시작할 수 있는 가장 이른 시각,</w:t>
            </w:r>
            <w:r>
              <w:rPr>
                <w:sz w:val="18"/>
              </w:rPr>
              <w:t xml:space="preserve"> </w:t>
            </w:r>
            <m:oMath>
              <m:sSub>
                <m:e>
                  <m:r>
                    <m:t>r</m:t>
                  </m:r>
                </m:e>
                <m:sub>
                  <m:r>
                    <m:t>q</m:t>
                  </m:r>
                </m:sub>
              </m:sSub>
              <m:r>
                <m:rPr>
                  <m:sty m:val="p"/>
                </m:rPr>
                <m:t>≥</m:t>
              </m:r>
              <m:r>
                <m:t>0</m:t>
              </m:r>
            </m:oMath>
          </w:p>
        </w:tc>
      </w:tr>
      <w:tr>
        <w:tc>
          <w:tcPr>
            <w:tcW w:w="1900" w:type="dxa"/>
          </w:tcPr>
          <w:p>
            <w:pPr>
              <w:pStyle w:val="Compact"/>
              <w:spacing w:before="0" w:after="0" w:line="240" w:lineRule="auto"/>
            </w:pPr>
            <m:oMath>
              <m:sSub>
                <m:e>
                  <m:acc>
                    <m:accPr>
                      <m:chr m:val="‾"/>
                    </m:accPr>
                    <m:e>
                      <m:r>
                        <m:t>d</m:t>
                      </m:r>
                    </m:e>
                  </m:acc>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연성 납기(soft due date), 위반은 허용되나 납기지연으로 벌점을 받음</w:t>
            </w:r>
          </w:p>
        </w:tc>
      </w:tr>
      <w:tr>
        <w:tc>
          <w:tcPr>
            <w:tcW w:w="1900" w:type="dxa"/>
          </w:tcPr>
          <w:p>
            <w:pPr>
              <w:pStyle w:val="Compact"/>
              <w:spacing w:before="0" w:after="0" w:line="240" w:lineRule="auto"/>
            </w:pPr>
            <m:oMath>
              <m:r>
                <m:t>λ</m:t>
              </m:r>
            </m:oMath>
          </w:p>
        </w:tc>
        <w:tc>
          <w:tcPr>
            <w:tcW w:w="7100" w:type="dxa"/>
          </w:tcPr>
          <w:p>
            <w:pPr>
              <w:pStyle w:val="Compact"/>
              <w:spacing w:before="0" w:after="0" w:line="240" w:lineRule="auto"/>
            </w:pPr>
            <w:r>
              <w:rPr>
                <w:sz w:val="18"/>
              </w:rPr>
              <w:t xml:space="preserve">납기지연 한 단위 시간에 부과하는 벌점 계수,</w:t>
            </w:r>
            <w:r>
              <w:rPr>
                <w:sz w:val="18"/>
              </w:rPr>
              <w:t xml:space="preserve"> </w:t>
            </w:r>
            <m:oMath>
              <m:r>
                <m:t>λ</m:t>
              </m:r>
              <m:r>
                <m:rPr>
                  <m:sty m:val="p"/>
                </m:rPr>
                <m:t>≥</m:t>
              </m:r>
              <m:r>
                <m:t>0</m:t>
              </m:r>
            </m:oMath>
          </w:p>
        </w:tc>
      </w:tr>
      <w:tr>
        <w:tc>
          <w:tcPr>
            <w:tcW w:w="1900" w:type="dxa"/>
          </w:tcPr>
          <w:p>
            <w:pPr>
              <w:pStyle w:val="Compact"/>
              <w:spacing w:before="0" w:after="0" w:line="240" w:lineRule="auto"/>
            </w:pPr>
            <m:oMath>
              <m:r>
                <m:t>B</m:t>
              </m:r>
            </m:oMath>
          </w:p>
        </w:tc>
        <w:tc>
          <w:tcPr>
            <w:tcW w:w="7100" w:type="dxa"/>
          </w:tcPr>
          <w:p>
            <w:pPr>
              <w:pStyle w:val="Compact"/>
              <w:spacing w:before="0" w:after="0" w:line="240" w:lineRule="auto"/>
            </w:pPr>
            <w:r>
              <w:rPr>
                <w:sz w:val="18"/>
              </w:rPr>
              <w:t xml:space="preserve">big-</w:t>
            </w:r>
            <m:oMath>
              <m:r>
                <m:t>M</m:t>
              </m:r>
            </m:oMath>
            <w:r>
              <w:rPr>
                <w:sz w:val="18"/>
              </w:rPr>
              <w:t xml:space="preserve"> </w:t>
            </w:r>
            <w:r>
              <w:rPr>
                <w:sz w:val="18"/>
              </w:rPr>
              <w:t xml:space="preserve">제약에 쓰는 유효한 horizon 상한</w:t>
            </w:r>
          </w:p>
        </w:tc>
      </w:tr>
      <w:tr>
        <w:tc>
          <w:tcPr>
            <w:tcW w:w="9000" w:type="dxa"/>
            <w:gridSpan w:val="2"/>
          </w:tcPr>
          <w:p>
            <w:pPr>
              <w:pStyle w:val="Compact"/>
              <w:spacing w:before="0" w:after="0" w:line="240" w:lineRule="auto"/>
            </w:pPr>
            <w:r>
              <w:rPr>
                <w:b/>
                <w:bCs/>
                <w:sz w:val="18"/>
              </w:rPr>
              <w:t xml:space="preserve">결정변수 (Decision Variables)</w:t>
            </w:r>
          </w:p>
        </w:tc>
      </w:tr>
      <w:tr>
        <w:tc>
          <w:tcPr>
            <w:tcW w:w="1900" w:type="dxa"/>
          </w:tcPr>
          <w:p>
            <w:pPr>
              <w:pStyle w:val="Compact"/>
              <w:spacing w:before="0" w:after="0" w:line="240" w:lineRule="auto"/>
            </w:pPr>
            <m:oMath>
              <m:sSub>
                <m:e>
                  <m:r>
                    <m:t>x</m:t>
                  </m:r>
                </m:e>
                <m:sub>
                  <m:r>
                    <m:t>i</m:t>
                  </m:r>
                  <m:r>
                    <m:t>d</m:t>
                  </m:r>
                  <m:r>
                    <m:t>m</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목적지</w:t>
            </w:r>
            <w:r>
              <w:rPr>
                <w:sz w:val="18"/>
              </w:rPr>
              <w:t xml:space="preserve"> </w:t>
            </w:r>
            <m:oMath>
              <m:r>
                <m:t>d</m:t>
              </m:r>
            </m:oMath>
            <w:r>
              <w:rPr>
                <w:sz w:val="18"/>
              </w:rPr>
              <w:t xml:space="preserve">를 유지하고 도어</w:t>
            </w:r>
            <w:r>
              <w:rPr>
                <w:sz w:val="18"/>
              </w:rPr>
              <w:t xml:space="preserve"> </w:t>
            </w:r>
            <m:oMath>
              <m:r>
                <m:t>m</m:t>
              </m:r>
            </m:oMath>
            <w:r>
              <w:rPr>
                <w:sz w:val="18"/>
              </w:rPr>
              <w:t xml:space="preserve">에 배정되면 1, 아니면 0</w:t>
            </w:r>
          </w:p>
        </w:tc>
      </w:tr>
      <w:tr>
        <w:tc>
          <w:tcPr>
            <w:tcW w:w="1900" w:type="dxa"/>
          </w:tcPr>
          <w:p>
            <w:pPr>
              <w:pStyle w:val="Compact"/>
              <w:spacing w:before="0" w:after="0" w:line="240" w:lineRule="auto"/>
            </w:pPr>
            <m:oMath>
              <m:sSub>
                <m:e>
                  <m:r>
                    <m:t>z</m:t>
                  </m:r>
                </m:e>
                <m:sub>
                  <m:r>
                    <m:t>f</m:t>
                  </m:r>
                  <m:r>
                    <m:t>d</m:t>
                  </m:r>
                  <m:r>
                    <m:t>m</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가 목적지</w:t>
            </w:r>
            <w:r>
              <w:rPr>
                <w:sz w:val="18"/>
              </w:rPr>
              <w:t xml:space="preserve"> </w:t>
            </w:r>
            <m:oMath>
              <m:r>
                <m:t>d</m:t>
              </m:r>
            </m:oMath>
            <w:r>
              <w:rPr>
                <w:sz w:val="18"/>
              </w:rPr>
              <w:t xml:space="preserve">와 도어</w:t>
            </w:r>
            <w:r>
              <w:rPr>
                <w:sz w:val="18"/>
              </w:rPr>
              <w:t xml:space="preserve"> </w:t>
            </w:r>
            <m:oMath>
              <m:r>
                <m:t>m</m:t>
              </m:r>
            </m:oMath>
            <w:r>
              <w:rPr>
                <w:sz w:val="18"/>
              </w:rPr>
              <w:t xml:space="preserve">에 배정되면 1, 아니면 0</w:t>
            </w:r>
          </w:p>
        </w:tc>
      </w:tr>
      <w:tr>
        <w:tc>
          <w:tcPr>
            <w:tcW w:w="1900" w:type="dxa"/>
          </w:tcPr>
          <w:p>
            <w:pPr>
              <w:pStyle w:val="Compact"/>
              <w:spacing w:before="0" w:after="0" w:line="240" w:lineRule="auto"/>
            </w:pPr>
            <m:oMath>
              <m:sSub>
                <m:e>
                  <m:r>
                    <m:t>b</m:t>
                  </m:r>
                </m:e>
                <m:sub>
                  <m:r>
                    <m:t>f</m:t>
                  </m:r>
                  <m:r>
                    <m:t>g</m:t>
                  </m:r>
                  <m:r>
                    <m:t>m</m:t>
                  </m:r>
                </m:sub>
              </m:sSub>
            </m:oMath>
          </w:p>
        </w:tc>
        <w:tc>
          <w:tcPr>
            <w:tcW w:w="7100" w:type="dxa"/>
          </w:tcPr>
          <w:p>
            <w:pPr>
              <w:pStyle w:val="Compact"/>
              <w:spacing w:before="0" w:after="0" w:line="240" w:lineRule="auto"/>
            </w:pPr>
            <w:r>
              <w:rPr>
                <w:sz w:val="18"/>
              </w:rPr>
              <w:t xml:space="preserve">도어</w:t>
            </w:r>
            <w:r>
              <w:rPr>
                <w:sz w:val="18"/>
              </w:rPr>
              <w:t xml:space="preserve"> </w:t>
            </w:r>
            <m:oMath>
              <m:r>
                <m:t>m</m:t>
              </m:r>
            </m:oMath>
            <w:r>
              <w:rPr>
                <w:sz w:val="18"/>
              </w:rPr>
              <w:t xml:space="preserve">에서 출고트럭</w:t>
            </w:r>
            <w:r>
              <w:rPr>
                <w:sz w:val="18"/>
              </w:rPr>
              <w:t xml:space="preserve"> </w:t>
            </w:r>
            <m:oMath>
              <m:r>
                <m:t>f</m:t>
              </m:r>
            </m:oMath>
            <w:r>
              <w:rPr>
                <w:sz w:val="18"/>
              </w:rPr>
              <w:t xml:space="preserve">가</w:t>
            </w:r>
            <w:r>
              <w:rPr>
                <w:sz w:val="18"/>
              </w:rPr>
              <w:t xml:space="preserve"> </w:t>
            </w:r>
            <m:oMath>
              <m:r>
                <m:t>g</m:t>
              </m:r>
            </m:oMath>
            <w:r>
              <w:rPr>
                <w:sz w:val="18"/>
              </w:rPr>
              <w:t xml:space="preserve">보다 먼저 작업하면 1, 아니면 0</w:t>
            </w:r>
          </w:p>
        </w:tc>
      </w:tr>
      <w:tr>
        <w:tc>
          <w:tcPr>
            <w:tcW w:w="1900" w:type="dxa"/>
          </w:tcPr>
          <w:p>
            <w:pPr>
              <w:pStyle w:val="Compact"/>
              <w:spacing w:before="0" w:after="0" w:line="240" w:lineRule="auto"/>
            </w:pPr>
            <m:oMath>
              <m:sSub>
                <m:e>
                  <m:r>
                    <m:t>X</m:t>
                  </m:r>
                </m:e>
                <m:sub>
                  <m:r>
                    <m:t>i</m:t>
                  </m:r>
                  <m:r>
                    <m:t>m</m:t>
                  </m:r>
                </m:sub>
              </m:sSub>
            </m:oMath>
            <w:r>
              <w:rPr>
                <w:sz w:val="18"/>
              </w:rPr>
              <w:t xml:space="preserve">,</w:t>
            </w:r>
            <w:r>
              <w:rPr>
                <w:sz w:val="18"/>
              </w:rPr>
              <w:t xml:space="preserve"> </w:t>
            </w:r>
            <m:oMath>
              <m:sSub>
                <m:e>
                  <m:r>
                    <m:t>Z</m:t>
                  </m:r>
                </m:e>
                <m:sub>
                  <m:r>
                    <m:t>f</m:t>
                  </m:r>
                  <m:r>
                    <m:t>m</m:t>
                  </m:r>
                </m:sub>
              </m:sSub>
            </m:oMath>
            <w:r>
              <w:rPr>
                <w:sz w:val="18"/>
              </w:rPr>
              <w:t xml:space="preserve">,</w:t>
            </w:r>
            <w:r>
              <w:rPr>
                <w:sz w:val="18"/>
              </w:rPr>
              <w:t xml:space="preserve"> </w:t>
            </w:r>
            <m:oMath>
              <m:sSub>
                <m:e>
                  <m:r>
                    <m:t>Z</m:t>
                  </m:r>
                </m:e>
                <m:sub>
                  <m:r>
                    <m:t>f</m:t>
                  </m:r>
                  <m:r>
                    <m:t>d</m:t>
                  </m:r>
                </m:sub>
              </m:sSub>
            </m:oMath>
          </w:p>
        </w:tc>
        <w:tc>
          <w:tcPr>
            <w:tcW w:w="7100" w:type="dxa"/>
          </w:tcPr>
          <w:p>
            <w:pPr>
              <w:pStyle w:val="Compact"/>
              <w:spacing w:before="0" w:after="0" w:line="240" w:lineRule="auto"/>
            </w:pPr>
            <w:r>
              <w:rPr>
                <w:sz w:val="18"/>
              </w:rPr>
              <w:t xml:space="preserve">배정 보조 변수,</w:t>
            </w:r>
            <w:r>
              <w:rPr>
                <w:sz w:val="18"/>
              </w:rPr>
              <w:t xml:space="preserve"> </w:t>
            </w:r>
            <m:oMath>
              <m:sSub>
                <m:e>
                  <m:r>
                    <m:t>X</m:t>
                  </m:r>
                </m:e>
                <m:sub>
                  <m:r>
                    <m:t>i</m:t>
                  </m:r>
                  <m:r>
                    <m:t>m</m:t>
                  </m:r>
                </m:sub>
              </m:sSub>
              <m:r>
                <m:rPr>
                  <m:sty m:val="p"/>
                </m:rPr>
                <m:t>=</m:t>
              </m:r>
              <m:nary>
                <m:naryPr>
                  <m:chr m:val="∑"/>
                  <m:limLoc m:val="undOvr"/>
                  <m:subHide m:val="off"/>
                  <m:supHide m:val="on"/>
                </m:naryPr>
                <m:sub>
                  <m:r>
                    <m:t>d</m:t>
                  </m:r>
                </m:sub>
                <m:sup>
                  <m:r>
                    <m:t>​</m:t>
                  </m:r>
                </m:sup>
                <m:e>
                  <m:sSub>
                    <m:e>
                      <m:r>
                        <m:t>x</m:t>
                      </m:r>
                    </m:e>
                    <m:sub>
                      <m:r>
                        <m:t>i</m:t>
                      </m:r>
                      <m:r>
                        <m:t>d</m:t>
                      </m:r>
                      <m:r>
                        <m:t>m</m:t>
                      </m:r>
                    </m:sub>
                  </m:sSub>
                </m:e>
              </m:nary>
            </m:oMath>
            <w:r>
              <w:rPr>
                <w:sz w:val="18"/>
              </w:rPr>
              <w:t xml:space="preserve">,</w:t>
            </w:r>
            <w:r>
              <w:rPr>
                <w:sz w:val="18"/>
              </w:rPr>
              <w:t xml:space="preserve"> </w:t>
            </w:r>
            <m:oMath>
              <m:sSub>
                <m:e>
                  <m:r>
                    <m:t>Z</m:t>
                  </m:r>
                </m:e>
                <m:sub>
                  <m:r>
                    <m:t>f</m:t>
                  </m:r>
                  <m:r>
                    <m:t>m</m:t>
                  </m:r>
                </m:sub>
              </m:sSub>
              <m:r>
                <m:rPr>
                  <m:sty m:val="p"/>
                </m:rPr>
                <m:t>=</m:t>
              </m:r>
              <m:nary>
                <m:naryPr>
                  <m:chr m:val="∑"/>
                  <m:limLoc m:val="undOvr"/>
                  <m:subHide m:val="off"/>
                  <m:supHide m:val="on"/>
                </m:naryPr>
                <m:sub>
                  <m:r>
                    <m:t>d</m:t>
                  </m:r>
                </m:sub>
                <m:sup>
                  <m:r>
                    <m:t>​</m:t>
                  </m:r>
                </m:sup>
                <m:e>
                  <m:sSub>
                    <m:e>
                      <m:r>
                        <m:t>z</m:t>
                      </m:r>
                    </m:e>
                    <m:sub>
                      <m:r>
                        <m:t>f</m:t>
                      </m:r>
                      <m:r>
                        <m:t>d</m:t>
                      </m:r>
                      <m:r>
                        <m:t>m</m:t>
                      </m:r>
                    </m:sub>
                  </m:sSub>
                </m:e>
              </m:nary>
            </m:oMath>
            <w:r>
              <w:rPr>
                <w:sz w:val="18"/>
              </w:rPr>
              <w:t xml:space="preserve">,</w:t>
            </w:r>
            <w:r>
              <w:rPr>
                <w:sz w:val="18"/>
              </w:rPr>
              <w:t xml:space="preserve"> </w:t>
            </w:r>
            <m:oMath>
              <m:sSub>
                <m:e>
                  <m:r>
                    <m:t>Z</m:t>
                  </m:r>
                </m:e>
                <m:sub>
                  <m:r>
                    <m:t>f</m:t>
                  </m:r>
                  <m:r>
                    <m:t>d</m:t>
                  </m:r>
                </m:sub>
              </m:sSub>
              <m:r>
                <m:rPr>
                  <m:sty m:val="p"/>
                </m:rPr>
                <m:t>=</m:t>
              </m:r>
              <m:nary>
                <m:naryPr>
                  <m:chr m:val="∑"/>
                  <m:limLoc m:val="undOvr"/>
                  <m:subHide m:val="off"/>
                  <m:supHide m:val="on"/>
                </m:naryPr>
                <m:sub>
                  <m:r>
                    <m:t>m</m:t>
                  </m:r>
                </m:sub>
                <m:sup>
                  <m:r>
                    <m:t>​</m:t>
                  </m:r>
                </m:sup>
                <m:e>
                  <m:sSub>
                    <m:e>
                      <m:r>
                        <m:t>z</m:t>
                      </m:r>
                    </m:e>
                    <m:sub>
                      <m:r>
                        <m:t>f</m:t>
                      </m:r>
                      <m:r>
                        <m:t>d</m:t>
                      </m:r>
                      <m:r>
                        <m:t>m</m:t>
                      </m:r>
                    </m:sub>
                  </m:sSub>
                </m:e>
              </m:nary>
            </m:oMath>
          </w:p>
        </w:tc>
      </w:tr>
      <w:tr>
        <w:tc>
          <w:tcPr>
            <w:tcW w:w="1900" w:type="dxa"/>
          </w:tcPr>
          <w:p>
            <w:pPr>
              <w:pStyle w:val="Compact"/>
              <w:spacing w:before="0" w:after="0" w:line="240" w:lineRule="auto"/>
            </w:pPr>
            <m:oMath>
              <m:sSub>
                <m:e>
                  <m:r>
                    <m:t>U</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하역 완료 시각</w:t>
            </w:r>
          </w:p>
        </w:tc>
      </w:tr>
      <w:tr>
        <w:tc>
          <w:tcPr>
            <w:tcW w:w="1900" w:type="dxa"/>
          </w:tcPr>
          <w:p>
            <w:pPr>
              <w:pStyle w:val="Compact"/>
              <w:spacing w:before="0" w:after="0" w:line="240" w:lineRule="auto"/>
            </w:pPr>
            <m:oMath>
              <m:sSub>
                <m:e>
                  <m:r>
                    <m:t>C</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도어 작업 완료 시각</w:t>
            </w:r>
          </w:p>
        </w:tc>
      </w:tr>
      <w:tr>
        <w:tc>
          <w:tcPr>
            <w:tcW w:w="1900" w:type="dxa"/>
          </w:tcPr>
          <w:p>
            <w:pPr>
              <w:pStyle w:val="Compact"/>
              <w:spacing w:before="0" w:after="0" w:line="240" w:lineRule="auto"/>
            </w:pPr>
            <m:oMath>
              <m:sSub>
                <m:e>
                  <m:r>
                    <m:t>S</m:t>
                  </m:r>
                </m:e>
                <m:sub>
                  <m:r>
                    <m:t>f</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의 도어 작업 시작 시각(적재 시작은</w:t>
            </w:r>
            <w:r>
              <w:rPr>
                <w:sz w:val="18"/>
              </w:rPr>
              <w:t xml:space="preserve"> </w:t>
            </w:r>
            <m:oMath>
              <m:sSub>
                <m:e>
                  <m:r>
                    <m:t>S</m:t>
                  </m:r>
                </m:e>
                <m:sub>
                  <m:r>
                    <m:t>f</m:t>
                  </m:r>
                </m:sub>
              </m:sSub>
              <m:r>
                <m:rPr>
                  <m:sty m:val="p"/>
                </m:rPr>
                <m:t>+</m:t>
              </m:r>
              <m:r>
                <m:t>D</m:t>
              </m:r>
              <m:sSub>
                <m:e>
                  <m:r>
                    <m:t>E</m:t>
                  </m:r>
                </m:e>
                <m:sub>
                  <m:r>
                    <m:t>f</m:t>
                  </m:r>
                </m:sub>
              </m:sSub>
            </m:oMath>
            <w:r>
              <w:rPr>
                <w:sz w:val="18"/>
              </w:rPr>
              <w:t xml:space="preserve">)</w:t>
            </w:r>
          </w:p>
        </w:tc>
      </w:tr>
      <w:tr>
        <w:tc>
          <w:tcPr>
            <w:tcW w:w="1900" w:type="dxa"/>
          </w:tcPr>
          <w:p>
            <w:pPr>
              <w:pStyle w:val="Compact"/>
              <w:spacing w:before="0" w:after="0" w:line="240" w:lineRule="auto"/>
            </w:pPr>
            <m:oMath>
              <m:sSub>
                <m:e>
                  <m:r>
                    <m:t>C</m:t>
                  </m:r>
                </m:e>
                <m:sub>
                  <m:r>
                    <m:t>f</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의 완료 시각</w:t>
            </w:r>
          </w:p>
        </w:tc>
      </w:tr>
      <w:tr>
        <w:tc>
          <w:tcPr>
            <w:tcW w:w="1900" w:type="dxa"/>
          </w:tcPr>
          <w:p>
            <w:pPr>
              <w:pStyle w:val="Compact"/>
              <w:spacing w:before="0" w:after="0" w:line="240" w:lineRule="auto"/>
            </w:pPr>
            <m:oMath>
              <m:sSub>
                <m:e>
                  <m:r>
                    <m:t>C</m:t>
                  </m:r>
                </m:e>
                <m:sub>
                  <m:r>
                    <m:rPr>
                      <m:sty m:val="p"/>
                    </m:rPr>
                    <m:t>max</m:t>
                  </m:r>
                </m:sub>
              </m:sSub>
            </m:oMath>
          </w:p>
        </w:tc>
        <w:tc>
          <w:tcPr>
            <w:tcW w:w="7100" w:type="dxa"/>
          </w:tcPr>
          <w:p>
            <w:pPr>
              <w:pStyle w:val="Compact"/>
              <w:spacing w:before="0" w:after="0" w:line="240" w:lineRule="auto"/>
            </w:pPr>
            <w:r>
              <w:rPr>
                <w:sz w:val="18"/>
              </w:rPr>
              <w:t xml:space="preserve">총 작업완료시간(makespan),</w:t>
            </w:r>
            <w:r>
              <w:rPr>
                <w:sz w:val="18"/>
              </w:rPr>
              <w:t xml:space="preserve"> </w:t>
            </w:r>
            <m:oMath>
              <m:r>
                <m:t>τ</m:t>
              </m:r>
              <m:r>
                <m:rPr>
                  <m:sty m:val="p"/>
                </m:rPr>
                <m:t>=</m:t>
              </m:r>
              <m:sSub>
                <m:e>
                  <m:r>
                    <m:t>C</m:t>
                  </m:r>
                </m:e>
                <m:sub>
                  <m:r>
                    <m:rPr>
                      <m:sty m:val="p"/>
                    </m:rPr>
                    <m:t>max</m:t>
                  </m:r>
                </m:sub>
              </m:sSub>
            </m:oMath>
          </w:p>
        </w:tc>
      </w:tr>
      <w:tr>
        <w:tc>
          <w:tcPr>
            <w:tcW w:w="1900" w:type="dxa"/>
          </w:tcPr>
          <w:p>
            <w:pPr>
              <w:pStyle w:val="Compact"/>
              <w:spacing w:before="0" w:after="0" w:line="240" w:lineRule="auto"/>
            </w:pPr>
            <m:oMath>
              <m:sSub>
                <m:e>
                  <m:r>
                    <m:t>T</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납기지연(tardiness),</w:t>
            </w:r>
            <w:r>
              <w:rPr>
                <w:sz w:val="18"/>
              </w:rPr>
              <w:t xml:space="preserve"> </w:t>
            </w:r>
            <m:oMath>
              <m:sSub>
                <m:e>
                  <m:r>
                    <m:t>T</m:t>
                  </m:r>
                </m:e>
                <m:sub>
                  <m:r>
                    <m:t>q</m:t>
                  </m:r>
                </m:sub>
              </m:sSub>
              <m:r>
                <m:rPr>
                  <m:sty m:val="p"/>
                </m:rPr>
                <m:t>≥</m:t>
              </m:r>
              <m:r>
                <m:rPr>
                  <m:sty m:val="p"/>
                </m:rPr>
                <m:t>max</m:t>
              </m:r>
              <m:r>
                <m:rPr>
                  <m:sty m:val="p"/>
                </m:rPr>
                <m:t>{</m:t>
              </m:r>
              <m:r>
                <m:t>0</m:t>
              </m:r>
              <m:r>
                <m:rPr>
                  <m:sty m:val="p"/>
                </m:rPr>
                <m:t>,</m:t>
              </m:r>
              <m:r>
                <m:t> </m:t>
              </m:r>
              <m:sSub>
                <m:e>
                  <m:r>
                    <m:t>C</m:t>
                  </m:r>
                </m:e>
                <m:sub>
                  <m:r>
                    <m:t>q</m:t>
                  </m:r>
                </m:sub>
              </m:sSub>
              <m:r>
                <m:rPr>
                  <m:sty m:val="p"/>
                </m:rPr>
                <m:t>−</m:t>
              </m:r>
              <m:sSub>
                <m:e>
                  <m:acc>
                    <m:accPr>
                      <m:chr m:val="‾"/>
                    </m:accPr>
                    <m:e>
                      <m:r>
                        <m:t>d</m:t>
                      </m:r>
                    </m:e>
                  </m:acc>
                </m:e>
                <m:sub>
                  <m:r>
                    <m:t>q</m:t>
                  </m:r>
                </m:sub>
              </m:sSub>
              <m:r>
                <m:rPr>
                  <m:sty m:val="p"/>
                </m:rPr>
                <m:t>}</m:t>
              </m:r>
            </m:oMath>
          </w:p>
        </w:tc>
      </w:tr>
    </w:tbl>
    <w:p w14:paraId="24B5489D"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2.2 기본 모델</w:t>
      </w:r>
    </w:p>
    <w:p>
      <w:pPr>
        <w:pStyle w:val="FirstParagraph"/>
      </w:pPr>
      <w:r>
        <w:t xml:space="preserve">이 문제의 결정은 세 가지이다. 각 병행 트럭이 유지할 목적지 하나와 배정될 도어 하나(도어당 병행 트럭은 최대 1대), 각 출고트럭이 맡을 나머지 목적지 하나와 배정될 도어, 그리고 같은 도어에 배정된 출고트럭들의 작업 순서이다. 각 목적지에는 정확히 하나의 운송 트럭이 배정된다. 병행 트럭</w:t>
      </w:r>
      <w:r>
        <w:t xml:space="preserve"> </w:t>
      </w:r>
      <m:oMath>
        <m:r>
          <m:t>i</m:t>
        </m:r>
      </m:oMath>
      <w:r>
        <w:t xml:space="preserve">의 도착 시각</w:t>
      </w:r>
      <w:r>
        <w:t xml:space="preserve"> </w:t>
      </w:r>
      <m:oMath>
        <m:sSub>
          <m:e>
            <m:r>
              <m:t>r</m:t>
            </m:r>
          </m:e>
          <m:sub>
            <m:r>
              <m:t>i</m:t>
            </m:r>
          </m:sub>
        </m:sSub>
      </m:oMath>
      <w:r>
        <w:t xml:space="preserve">는 하역을 시작할 수 있는 가장 이른 시각이고, 출고트럭</w:t>
      </w:r>
      <w:r>
        <w:t xml:space="preserve"> </w:t>
      </w:r>
      <m:oMath>
        <m:r>
          <m:t>f</m:t>
        </m:r>
      </m:oMath>
      <w:r>
        <w:t xml:space="preserve">의 도착 시각</w:t>
      </w:r>
      <w:r>
        <w:t xml:space="preserve"> </w:t>
      </w:r>
      <m:oMath>
        <m:sSub>
          <m:e>
            <m:r>
              <m:t>r</m:t>
            </m:r>
          </m:e>
          <m:sub>
            <m:r>
              <m:t>f</m:t>
            </m:r>
          </m:sub>
        </m:sSub>
      </m:oMath>
      <w:r>
        <w:t xml:space="preserve">는 적재를 위한 도어 작업을 시작할 수 있는 가장 이른 시각이다. 연성 납기</w:t>
      </w:r>
      <w:r>
        <w:t xml:space="preserve"> </w:t>
      </w:r>
      <m:oMath>
        <m:sSub>
          <m:e>
            <m:acc>
              <m:accPr>
                <m:chr m:val="‾"/>
              </m:accPr>
              <m:e>
                <m:r>
                  <m:t>d</m:t>
                </m:r>
              </m:e>
            </m:acc>
          </m:e>
          <m:sub>
            <m:r>
              <m:t>q</m:t>
            </m:r>
          </m:sub>
        </m:sSub>
      </m:oMath>
      <w:r>
        <w:t xml:space="preserve">와 납기지연</w:t>
      </w:r>
      <w:r>
        <w:t xml:space="preserve"> </w:t>
      </w:r>
      <m:oMath>
        <m:sSub>
          <m:e>
            <m:r>
              <m:t>T</m:t>
            </m:r>
          </m:e>
          <m:sub>
            <m:r>
              <m:t>q</m:t>
            </m:r>
          </m:sub>
        </m:sSub>
      </m:oMath>
      <w:r>
        <w:t xml:space="preserve">는 2.4절의 목적식에서 사용한다.</w:t>
      </w:r>
    </w:p>
    <w:p w14:paraId="52AC8BC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각 트럭의 작업 시각은 다음과 같이 계산한다(&lt;Figure 1&gt;).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도착 시각과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m:t>
        </m:r>
        <m:r>
          <m:rPr>
            <m:nor/>
          </m:rPr>
          <w:rPr>
            <w:rFonts w:asciiTheme="minorEastAsia" w:hAnsiTheme="minorEastAsia"/>
          </w:rPr>
          <m:t>destination ready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34637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_compound_timeline.drawio.png"/>
                    <pic:cNvPicPr>
                      <a:picLocks noChangeAspect="1" noChangeArrowheads="1"/>
                    </pic:cNvPicPr>
                  </pic:nvPicPr>
                  <pic:blipFill>
                    <a:blip r:embed="rId7"/>
                    <a:stretch>
                      <a:fillRect/>
                    </a:stretch>
                  </pic:blipFill>
                  <pic:spPr bwMode="auto">
                    <a:xfrm>
                      <a:off x="0" y="0"/>
                      <a:ext cx="5334000" cy="2346377"/>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Pr>
          <w:rFonts w:asciiTheme="minorEastAsia" w:hAnsiTheme="minorEastAsia"/>
          <w:sz w:val="18"/>
        </w:rPr>
        <w:t xml:space="preserve">Figure 1. Processing timelines for the two alternative carrier configurations: (a) a compound truck retaining destination </w:t>
      </w:r>
      <m:oMath>
        <m:r>
          <m:t>d</m:t>
        </m:r>
      </m:oMath>
      <w:r>
        <w:rPr>
          <w:rFonts w:asciiTheme="minorEastAsia" w:hAnsiTheme="minorEastAsia"/>
          <w:sz w:val="18"/>
        </w:rPr>
        <w:t xml:space="preserve">, and (b) a dedicated outbound truck assigned to destination </w:t>
      </w:r>
      <m:oMath>
        <m:r>
          <m:t>d</m:t>
        </m:r>
      </m:oMath>
      <w:r>
        <w:rPr>
          <w:rFonts w:asciiTheme="minorEastAsia" w:hAnsiTheme="minorEastAsia"/>
          <w:sz w:val="18"/>
        </w:rPr>
        <w:t xml:space="preserve">.</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2.3 Mixed-integer 정식화</w:t>
      </w:r>
    </w:p>
    <w:p w14:paraId="341E6FDF" w14:textId="77777777" w:rsidR="009A7C2A" w:rsidRPr="00E80019" w:rsidRDefault="00000000">
      <w:pPr>
        <w:pStyle w:val="FirstParagraph"/>
        <w:spacing w:line="480" w:lineRule="auto"/>
        <w:ind w:firstLine="216"/>
        <w:rPr>
          <w:rFonts w:asciiTheme="minorEastAsia" w:hAnsiTheme="minorEastAsia"/>
        </w:rPr>
      </w:pPr>
      <w:r w:rsidRPr="00E80019">
        <w:rPr>
          <w:rFonts w:asciiTheme="minorEastAsia" w:hAnsiTheme="minorEastAsia"/>
        </w:rPr>
        <w:t>2.1절의 결정변수를 사용하면 배정 제약은 다음과 같다.</w:t>
      </w:r>
    </w:p>
    <w:p w14:paraId="0EB68C77" w14:textId="77777777" w:rsidR="009A7C2A" w:rsidRPr="00E80019" w:rsidRDefault="00000000">
      <w:pPr>
        <w:pStyle w:val="a0"/>
        <w:spacing w:line="480" w:lineRule="auto"/>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,  </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480" w:lineRule="auto"/>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3</m:t>
          </m:r>
          <m:r>
            <m:rPr>
              <m:sty m:val="p"/>
            </m:rPr>
            <w:rPr>
              <w:rFonts w:ascii="Cambria Math" w:hAnsi="Cambria Math"/>
            </w:rPr>
            <m:t>)</m:t>
          </m:r>
          <m:r>
            <m:rPr>
              <m:sty m:val="p"/>
            </m:rPr>
            <w:rPr>
              <w:rFonts w:ascii="Cambria Math" w:hAnsi="Cambria Math"/>
            </w:rPr>
            <m:t>,  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병행 트럭의 작업 시각 관계와 화물 이송에 따른 선행 제약은 다음과 같다.</w:t>
      </w:r>
    </w:p>
    <w:p w14:paraId="275EE80C"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해당 목적지 화물을 싣고 온(</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 다른 병행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식 (10)은 모든 </w:t>
      </w:r>
      <m:oMath>
        <m:r>
          <m:t>f</m:t>
        </m:r>
        <m:r>
          <m:rPr>
            <m:sty m:val="p"/>
          </m:rPr>
          <m:t>,</m:t>
        </m:r>
        <m:r>
          <m:t>d</m:t>
        </m:r>
        <m:r>
          <m:rPr>
            <m:sty m:val="p"/>
          </m:rPr>
          <m:t>,</m:t>
        </m:r>
        <m:r>
          <m:t>m</m:t>
        </m:r>
        <m:r>
          <m:rPr>
            <m:sty m:val="p"/>
          </m:rPr>
          <m:t>,</m:t>
        </m:r>
        <m:r>
          <m:t>n</m:t>
        </m:r>
      </m:oMath>
      <w:r>
        <w:rPr>
          <w:rFonts w:asciiTheme="minorEastAsia" w:hAnsiTheme="minorEastAsia"/>
        </w:rPr>
        <w:t xml:space="preserve">과, 해당 목적지 화물을 싣고 온(</w:t>
      </w:r>
      <m:oMath>
        <m:nary>
          <m:naryPr>
            <m:chr m:val="∑"/>
            <m:limLoc m:val="undOvr"/>
            <m:subHide m:val="off"/>
            <m:supHide m:val="on"/>
          </m:naryPr>
          <m:sub>
            <m:r>
              <m:t>k</m:t>
            </m:r>
          </m:sub>
          <m:sup>
            <m:r>
              <m:t>​</m:t>
            </m:r>
          </m:sup>
          <m:e>
            <m:sSub>
              <m:e>
                <m:r>
                  <m:t>f</m:t>
                </m:r>
              </m:e>
              <m:sub>
                <m:r>
                  <m:t>i</m:t>
                </m:r>
                <m:r>
                  <m:t>d</m:t>
                </m:r>
                <m:r>
                  <m:t>k</m:t>
                </m:r>
              </m:sub>
            </m:sSub>
          </m:e>
        </m:nary>
        <m:r>
          <m:rPr>
            <m:sty m:val="p"/>
          </m:rPr>
          <m:t>&gt;</m:t>
        </m:r>
        <m:r>
          <m:t>0</m:t>
        </m:r>
      </m:oMath>
      <w:r>
        <w:rPr>
          <w:rFonts w:asciiTheme="minorEastAsia" w:hAnsiTheme="minorEastAsia"/>
        </w:rPr>
        <w:t xml:space="preserve">) 병행 트럭 </w:t>
      </w:r>
      <m:oMath>
        <m:r>
          <m:t>i</m:t>
        </m:r>
      </m:oMath>
      <w:r>
        <w:rPr>
          <w:rFonts w:asciiTheme="minorEastAsia" w:hAnsiTheme="minorEastAsia"/>
        </w:rPr>
        <w:t xml:space="preserve">에 대해 성립한다.</w:t>
      </w:r>
    </w:p>
    <w:p w14:paraId="7DC65EB3"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CP-SAT 모형에서는 big-</w:t>
      </w:r>
      <m:oMath>
        <m:r>
          <w:rPr>
            <w:rFonts w:ascii="Cambria Math" w:hAnsi="Cambria Math"/>
          </w:rPr>
          <m:t>M</m:t>
        </m:r>
      </m:oMath>
      <w:r w:rsidRPr="00E80019">
        <w:rPr>
          <w:rFonts w:asciiTheme="minorEastAsia" w:hAnsiTheme="minorEastAsia"/>
        </w:rPr>
        <w:t xml:space="preserve"> 제약 대신 enforcement literal을 사용하고, CP-SAT가 정수만 다루므로 모든 시간값을 0.01 단위로 반올림한 뒤 100배하여 정수로 바꾼다. 또한 두 모형에서 모든 배정을 고정하면 각 트럭의 완료 시각이 2.2절의 계산 규칙을 독립적으로 구현한 스케줄 평가기의 결과와 일치하여, 모형이 문제 정의를 정확히 반영함을 확인하였다.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2.4 시간 제약 확장과 목적식</w:t>
      </w:r>
    </w:p>
    <w:p>
      <w:pPr>
        <w:pStyle w:val="FirstParagraph"/>
      </w:pPr>
      <w:r>
        <w:t xml:space="preserve">각 트럭</w:t>
      </w:r>
      <w:r>
        <w:t xml:space="preserve"> </w:t>
      </w:r>
      <m:oMath>
        <m:r>
          <m:t>q</m:t>
        </m:r>
        <m:r>
          <m:rPr>
            <m:sty m:val="p"/>
          </m:rPr>
          <m:t>∈</m:t>
        </m:r>
        <m:r>
          <m:t>I</m:t>
        </m:r>
        <m:r>
          <m:rPr>
            <m:sty m:val="p"/>
          </m:rPr>
          <m:t>∪</m:t>
        </m:r>
        <m:r>
          <m:t>F</m:t>
        </m:r>
      </m:oMath>
      <w:r>
        <w:t xml:space="preserve">의 납기지연은</w:t>
      </w:r>
      <w:r>
        <w:t xml:space="preserve"> </w:t>
      </w:r>
      <m:oMath>
        <m:sSub>
          <m:e>
            <m:r>
              <m:t>T</m:t>
            </m:r>
          </m:e>
          <m:sub>
            <m:r>
              <m:t>q</m:t>
            </m:r>
          </m:sub>
        </m:sSub>
        <m:r>
          <m:rPr>
            <m:sty m:val="p"/>
          </m:rPr>
          <m:t>≥</m:t>
        </m:r>
        <m:r>
          <m:rPr>
            <m:sty m:val="p"/>
          </m:rPr>
          <m:t>max</m:t>
        </m:r>
        <m:r>
          <m:rPr>
            <m:sty m:val="p"/>
          </m:rPr>
          <m:t>{</m:t>
        </m:r>
        <m:r>
          <m:t>0</m:t>
        </m:r>
        <m:r>
          <m:rPr>
            <m:sty m:val="p"/>
          </m:rPr>
          <m:t>,</m:t>
        </m:r>
        <m:sSub>
          <m:e>
            <m:r>
              <m:t>C</m:t>
            </m:r>
          </m:e>
          <m:sub>
            <m:r>
              <m:t>q</m:t>
            </m:r>
          </m:sub>
        </m:sSub>
        <m:r>
          <m:rPr>
            <m:sty m:val="p"/>
          </m:rPr>
          <m:t>−</m:t>
        </m:r>
        <m:sSub>
          <m:e>
            <m:acc>
              <m:accPr>
                <m:chr m:val="‾"/>
              </m:accPr>
              <m:e>
                <m:r>
                  <m:t>d</m:t>
                </m:r>
              </m:e>
            </m:acc>
          </m:e>
          <m:sub>
            <m:r>
              <m:t>q</m:t>
            </m:r>
          </m:sub>
        </m:sSub>
        <m:r>
          <m:rPr>
            <m:sty m:val="p"/>
          </m:rPr>
          <m:t>}</m:t>
        </m:r>
      </m:oMath>
      <w:r>
        <w:t xml:space="preserve">이다. 목적식은</w:t>
      </w:r>
    </w:p>
    <w:p w14:paraId="3EB9C392" w14:textId="77777777" w:rsidR="009A7C2A" w:rsidRPr="00E80019" w:rsidRDefault="00000000">
      <w:pPr>
        <w:pStyle w:val="a0"/>
        <w:spacing w:line="480" w:lineRule="auto"/>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480" w:lineRule="auto"/>
        <w:rPr>
          <w:rFonts w:asciiTheme="minorEastAsia" w:hAnsiTheme="minorEastAsia"/>
        </w:rPr>
      </w:pPr>
      <m:oMath>
        <m:r>
          <m:t>λ</m:t>
        </m:r>
      </m:oMath>
      <w:r>
        <w:rPr>
          <w:rFonts w:asciiTheme="minorEastAsia" w:hAnsiTheme="minorEastAsia"/>
        </w:rPr>
        <w:t xml:space="preserve">는 납기지연 한 단위 시간에 부과하는 벌점 계수(penalty coefficient)로, 총 작업완료시간과 납기 준수 사이의 관리적 선호를 반영하는 파라미터이다(5.4절).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이면 기존 총 작업완료시간 모델로 환원된다. CP-SAT는 제한시간 안에 찾은 현재 최선해(incumbent)의 목적값과 증명된 하한을 함께 반환하며, 본 논문에서는 두 값이 일치하여 최적성이 증명된 경우에만 최적해라고 부른다.</w:t>
      </w:r>
    </w:p>
    <w:p w14:paraId="35B23625" w14:textId="77777777" w:rsidR="009A7C2A" w:rsidRPr="00E80019" w:rsidRDefault="00000000">
      <w:pPr>
        <w:pStyle w:val="1"/>
        <w:spacing w:line="448" w:lineRule="exact"/>
        <w:rPr>
          <w:rFonts w:asciiTheme="minorEastAsia" w:eastAsiaTheme="minorEastAsia" w:hAnsiTheme="minorEastAsia"/>
        </w:rPr>
      </w:pPr>
      <w:bookmarkEnd w:id="5"/>
      <w:bookmarkStart w:id="7" w:name="vaa-gils"/>
      <w:bookmarkEnd w:id="2"/>
      <w:r w:rsidRPr="00E80019">
        <w:rPr>
          <w:rFonts w:asciiTheme="minorEastAsia" w:eastAsiaTheme="minorEastAsia" w:hAnsiTheme="minorEastAsia"/>
        </w:rPr>
        <w:t>3. 휴리스틱 알고리즘</w:t>
      </w:r>
    </w:p>
    <w:p w14:paraId="10D40CCD"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VAA-GILS는 반복 지역탐색(iterated local search; Lourenço 등, 2019)의 구현체로, 연산자 선택(operator selection), 연산자 내부 표본추출(sampling), 섭동(kick)을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초기해 구성(initial solution construction).</w:t>
      </w:r>
      <w:r w:rsidRPr="00E80019">
        <w:rPr>
          <w:rFonts w:asciiTheme="minorEastAsia" w:hAnsiTheme="minorEastAsia"/>
        </w:rPr>
        <w:t xml:space="preserve"> 원 모델의 VAA는 Vogel식 후회도(regret)로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하강 탐색(descent search).</w:t>
      </w:r>
      <w:r w:rsidRPr="00E80019">
        <w:rPr>
          <w:rFonts w:asciiTheme="minorEastAsia" w:hAnsiTheme="minorEastAsia"/>
        </w:rPr>
        <w:t xml:space="preserve"> 세 가지 이동 유형(출고트럭의 도어와 작업 순서 재배치, 병행 트럭의 도어 교환/빈 도어 이동, 두 트럭의 목적지 교환)에 대한 최선개선 지역탐색(best-improvement local search)으로, 지역 최적해(local optimum)에서 종료하며 초기해와 새로 갱신된 현재 최선해, 최종해에 적용한다.</w:t>
      </w:r>
    </w:p>
    <w:p w14:paraId="041555C3"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반복 탐색(iterated search).</w:t>
      </w:r>
      <w:r w:rsidRPr="00E80019">
        <w:rPr>
          <w:rFonts w:asciiTheme="minorEastAsia" w:hAnsiTheme="minorEastAsia"/>
        </w:rPr>
        <w:t xml:space="preserve"> 1,000회 반복한다. 선택 정책이 연산자 하나를 뽑아 현재 해에서 후보를 생성하고, 후보가 전역 최선해를 개선하면 하강 탐색을 적용해 현재 최선해를 갱신한다. 수락 규칙(acceptance rule)은 후보가 현재 해를 엄격히 개선할 때만 받아들이는 탐욕적(greedy) 규칙이다. 조정 집합에서 이 규칙을 모의 담금질(simulated annealing; Kirkpatrick 등, 1983) 수락 규칙과 비교하였다. SA 규칙은 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재가열(reheating)을 사용한다. </w:t>
      </w:r>
      <w:r>
        <w:rPr>
          <w:rFonts w:asciiTheme="minorEastAsia" w:hAnsiTheme="minorEastAsia"/>
        </w:rPr>
        <w:t xml:space="preserve">45개 인스턴스 중 36개에서 탐욕적 규칙이 더 좋은 해를 찾아(양측 Wilcoxon </w:t>
      </w:r>
      <m:oMath>
        <m:r>
          <m:t>p</m:t>
        </m:r>
        <m:r>
          <m:rPr>
            <m:sty m:val="p"/>
          </m:rPr>
          <m:t>=</m:t>
        </m:r>
        <m:r>
          <m:t>0.0007</m:t>
        </m:r>
      </m:oMath>
      <w:r>
        <w:rPr>
          <w:rFonts w:asciiTheme="minorEastAsia" w:hAnsiTheme="minorEastAsia"/>
        </w:rPr>
        <w:t xml:space="preserve">) 이를 채택하였고, 시험 집합에서도 SA 수락 규칙을 추가하면 해가 유의하게 나빠졌다(&lt;Table 7&gt;).</w:t>
      </w:r>
    </w:p>
    <w:p w14:paraId="4187CC57"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섭동 재시작(kick restart). 30회 연속 개선이 없으면 섭동 재시작을</w:t>
      </w:r>
      <w:r w:rsidRPr="00E80019">
        <w:rPr>
          <w:rFonts w:asciiTheme="minorEastAsia" w:hAnsiTheme="minorEastAsia"/>
        </w:rPr>
        <w:t xml:space="preserve"/>
      </w:r>
      <w:r w:rsidRPr="00E80019">
        <w:rPr>
          <w:rFonts w:asciiTheme="minorEastAsia" w:hAnsiTheme="minorEastAsia"/>
          <w:b/>
          <w:bCs/>
        </w:rPr>
        <w:t xml:space="preserve"/>
      </w:r>
      <w:r w:rsidRPr="00E80019">
        <w:rPr>
          <w:rFonts w:asciiTheme="minorEastAsia" w:hAnsiTheme="minorEastAsia"/>
        </w:rPr>
        <w:t xml:space="preserve">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섭동 이동(kick)을 3회 연속 적용한다. </w:t>
      </w:r>
      <w:r w:rsidRPr="00E80019">
        <w:rPr>
          <w:rFonts w:asciiTheme="minorEastAsia" w:hAnsiTheme="minorEastAsia"/>
        </w:rPr>
        <w:lastRenderedPageBreak/>
        <w:t xml:space="preserve">각 이동은 직전 이동의 결과에 적용되며, 재시작 직후에는 하강 탐색을 수행하지 않는다.</w:t>
      </w:r>
    </w:p>
    <w:p w14:paraId="11B70FC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연산자 집합(operator pool). 기본 이웃 7종은</w:t>
      </w:r>
      <w:r w:rsidRPr="00E80019">
        <w:rPr>
          <w:rFonts w:asciiTheme="minorEastAsia" w:hAnsiTheme="minorEastAsia"/>
        </w:rPr>
        <w:t xml:space="preserve"> 원 모델의 이웃 구조를 그대로 사용한다: (k1) 두 트럭의 목적지 교환, (k2) 병행 트럭 간 도어 교환, (k3) 출고트럭 간 도어 교환, (k4) 출고트럭을 다른 도어로 삽입, (k6) 하역시간 기반 룰렛 선택(roulette-wheel selection)으로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유도 연산자(guided operator) 4종을 더한다: (g1) 병목 도어(critical door)의 마지막 출고트럭을 최선 도어와 위치로 재배치, (g2) 병목 트럭의 목적지를 전 트럭과 대조해 최선 교환, (g3)/(g4) 납기지연이 가장 큰 트럭 기준의 동일 이동(납기지연이 있는 트럭이 없으면 g1/g2로 대체). </w:t>
      </w:r>
      <w:r>
        <w:rPr>
          <w:rFonts w:asciiTheme="minorEastAsia" w:hAnsiTheme="minorEastAsia"/>
        </w:rPr>
        <w:t xml:space="preserve">고속 증분 평가기(fast incremental evaluator)는 해 하나를 평가하는 데 시험 인스턴스 기준 S에서 약 25–28마이크로초(μs), L에서 약 95–148마이크로초가 걸려 하강 탐색과 유도 연산자를 저렴하게 만든다.</w:t>
      </w:r>
      <w:r w:rsidRPr="00E80019">
        <w:rPr>
          <w:rFonts w:asciiTheme="minorEastAsia" w:hAnsiTheme="minorEastAsia"/>
        </w:rPr>
        <w:t xml:space="preserve"/>
      </w:r>
    </w:p>
    <w:p w14:paraId="36E52DE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선택 정책(selection policy)과 원 모델의 비교.</w:t>
      </w:r>
      <w:r w:rsidRPr="00E80019">
        <w:rPr>
          <w:rFonts w:asciiTheme="minorEastAsia" w:hAnsiTheme="minorEastAsia"/>
        </w:rPr>
        <w:t xml:space="preserve"> 선택 정책은 교체할 수 있으며 기본값은 균등 무작위 선택이다. 학습 정책(SA-RL5의 tabular Q-learning(Watkins and Dayan, 1992), 규모 불변 특징(scale-invariant feature)으로 오프라인 학습한 transfer DQN(Mnih 등, 2015))은 ablation 목적으로만 평가하며 제안 방법의 일부가 아니다. tabular Q는 원 모델과 같이 무개선 구간 5-상태에서 일정 확률로는 연산자를 무작위로 고르고(ε-greedy 탐험) 나머지는 Q값이 큰 연산자를 우선 고른다(룰렛 활용). 다만 보상은 다르게 준다. 원 모델은 후보가 현재 해보다 나쁘지 않으면 1, 그렇지 않으면 0을 주지만, 본 연구는 현재 최선해를 갱신하면 2, 나빠지지 않으면 1, 그 외에는 0을 주는 셰이핑 보상(shaped reward)을 쓴다. 이는 학습 신호를 강화할 뿐이므로 비교 대상 선택 정책을 불리하게 만들지 않는다. 원 모델 SA-RL5는 RL이 단일 이동을 고르고 SA 수락 또는 거절로 한 단계가 끝나는 </w:t>
      </w:r>
      <w:r w:rsidRPr="00E80019">
        <w:rPr>
          <w:rFonts w:asciiTheme="minorEastAsia" w:hAnsiTheme="minorEastAsia"/>
          <w:b/>
          <w:bCs/>
        </w:rPr>
        <w:t>순수</w:t>
      </w:r>
      <w:r w:rsidRPr="00E80019">
        <w:rPr>
          <w:rFonts w:asciiTheme="minorEastAsia" w:hAnsiTheme="minorEastAsia"/>
        </w:rPr>
        <w:t xml:space="preserve"> 모의 담금질인 반면, VAA-GILS는 그 한 연산자 적용 단계를 반복 지역탐색 안에 넣고 유도 연산자, 개선 이동마다의 하강 탐색, 섭동 재시작을 더하며, 확률적 수락 규칙 대신 탐욕적 수락 규칙을 쓴다. ablation(5.2절)은 이 가운데 섭동 재시작의 기여가 가장 크고 유도 연산자와 하강 탐색이 그 뒤를 이음을 보인다. 두 방법의 구조적 차이는 &lt;Table 2&gt;에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 xml:space="preserve">Table 2.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4.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4.1 인스턴스 생성</w:t>
      </w:r>
    </w:p>
    <w:p w14:paraId="55791758"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은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일부 조건에서 제한시간 안에 최적성을 증명할 수 있는 소규모 문제이며, L은 제한시간 안에 실행 가능해 확보도 어려운 대규모 문제여서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나머지 생성 파라미터는 &lt;Table 3&gt;</w:t>
      </w:r>
      <w:hyperlink w:anchor="tab:param">
        <w:r w:rsidRPr="00E80019">
          <w:rPr>
            <w:rFonts w:asciiTheme="minorEastAsia" w:hAnsiTheme="minorEastAsia"/>
          </w:rPr>
          <w:t xml:space="preserve"/>
        </w:r>
      </w:hyperlink>
      <w:r w:rsidRPr="00E80019">
        <w:rPr>
          <w:rFonts w:asciiTheme="minorEastAsia" w:hAnsiTheme="minorEastAsia"/>
        </w:rPr>
        <w:t xml:space="preserve">에 정리하였다. 화물이 특정 목적지로 쏠리는 정도는 이와 별개의 조건이며, 보고하는 모든 실험은 쏠림이 없는 조건을 사용한다(소수 목적지에 물량이 몰리는 쏠린 조건과 병행 트럭별 권역이 나뉘는 군집 조건은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 xml:space="preserve">Table 3. Instance generation parameters. Flow, handling and enter/leave times are drawn from integer uniform distributions.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(|I|,|F|,|D|,|M|)</w:t>
            </w:r>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|I|/|D|</w:t>
            </w:r>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w:t>
            </w:r>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f_idk</w:t>
            </w:r>
          </w:p>
        </w:tc>
        <w:tc>
          <w:tcPr>
            <w:tcW w:w="3312" w:type="dxa"/>
          </w:tcPr>
          <w:p w14:paraId="0239D5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U[0,20]</w:t>
            </w:r>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t_k</w:t>
            </w:r>
          </w:p>
        </w:tc>
        <w:tc>
          <w:tcPr>
            <w:tcW w:w="3312" w:type="dxa"/>
          </w:tcPr>
          <w:p w14:paraId="5C8EB40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U[1,4]</w:t>
            </w:r>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DE_q, DL_q</w:t>
            </w:r>
          </w:p>
        </w:tc>
        <w:tc>
          <w:tcPr>
            <w:tcW w:w="3312" w:type="dxa"/>
          </w:tcPr>
          <w:p w14:paraId="289A99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U[1,5]</w:t>
            </w:r>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on [0,100]²</w:t>
            </w:r>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t_mn</w:t>
            </w:r>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r_q</w:t>
            </w:r>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0; otherwise U[0,ρH]</w:t>
            </w:r>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w:t>
            </w:r>
            <w:r w:rsidRPr="00E80019">
              <w:rPr>
                <w:rFonts w:ascii="Courier New" w:hAnsi="Courier New" w:cs="Courier New"/>
                <w:sz w:val="18"/>
              </w:rPr>
              <w:t>̄</w:t>
            </w:r>
            <w:r w:rsidRPr="00E80019">
              <w:rPr>
                <w:rFonts w:asciiTheme="minorEastAsia" w:hAnsiTheme="minorEastAsia"/>
                <w:sz w:val="18"/>
              </w:rPr>
              <w:t>_q</w:t>
            </w:r>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 otherwise r_q + δH</w:t>
            </w:r>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(ρ,δ)</w:t>
            </w:r>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4.2 시간 제약 수준</w:t>
      </w:r>
    </w:p>
    <w:p w14:paraId="3C1591CE"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원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은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4.3 비교 대상과 측정</w:t>
      </w:r>
    </w:p>
    <w:p w14:paraId="179986F1"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표현과 이웃 구조, Q-learning 연산자 선택, SA 수락 규칙을 그대로 두고 평가기와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인스턴스 seed는 학습과 조정, 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수락 규칙 같은 설계 값은 조정 집합에서만 고르므로 시험 집합의 성능이 부풀려지지 않는다. 주 해품질 비교(&lt;Table 4&gt;)는 조건당 시험 인스턴스 20개를 각각 5회 반복 실행한다. 인스턴스마다 난이도가 다르므로 여러 개가 필요하고, 알고리즘에 무작위성이 있으므로 같은 인스턴스도 여러 번 실행한다. 통제된 ablation(&lt;Table 6&gt;, &lt;Table 7&gt;)은 같은 엔진에서 구성요소만 떼어내는 짝지은 비교여서 인스턴스 간 난이도 편차가 상쇄되므로 조건당 5개만 사용하고, 선택 정책 비교(&lt;Table 8&gt;)는 주 비교와 같은 조건당 20개 인스턴스를 사용한다.</w:t>
      </w:r>
    </w:p>
    <w:p w14:paraId="1516F7E8"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w:t>
      </w:r>
    </w:p>
    <w:p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논문은 해를 비교하는 기준을 세 가지로 엄격히 구분한다. </w:t>
      </w:r>
      <w:r>
        <w:rPr>
          <w:rFonts w:asciiTheme="minorEastAsia" w:hAnsiTheme="minorEastAsia"/>
          <w:b/>
          <w:bCs/>
        </w:rPr>
        <w:t xml:space="preserve">최적해</w:t>
      </w:r>
      <w:r>
        <w:rPr>
          <w:rFonts w:asciiTheme="minorEastAsia" w:hAnsiTheme="minorEastAsia"/>
        </w:rPr>
        <w:t xml:space="preserve">(optimal solution)는 CP-SAT가 반환한 해의 목적값이 증명된 하한과 일치하여 최적성이 증명된 해이다. </w:t>
      </w:r>
      <w:r>
        <w:rPr>
          <w:rFonts w:asciiTheme="minorEastAsia" w:hAnsiTheme="minorEastAsia"/>
          <w:b/>
          <w:bCs/>
        </w:rPr>
        <w:t xml:space="preserve">기준해</w:t>
      </w:r>
      <w:r>
        <w:rPr>
          <w:rFonts w:asciiTheme="minorEastAsia" w:hAnsiTheme="minorEastAsia"/>
        </w:rPr>
        <w:t xml:space="preserve">(reference solution)는 CP-SAT가 제한시간 안에 반환한 현재 최선해로, 최적성이 증명되지 않은 해를 포함하며 "최적"으로 부르지 않는다. </w:t>
      </w:r>
      <w:r>
        <w:rPr>
          <w:rFonts w:asciiTheme="minorEastAsia" w:hAnsiTheme="minorEastAsia"/>
          <w:b/>
          <w:bCs/>
        </w:rPr>
        <w:t xml:space="preserve">관측 최선해</w:t>
      </w:r>
      <w:r>
        <w:rPr>
          <w:rFonts w:asciiTheme="minorEastAsia" w:hAnsiTheme="minorEastAsia"/>
        </w:rPr>
        <w:t xml:space="preserve">(best observed solution)는 한 인스턴스에 대해 모든 방법, 모든 반복 횟수, CP-SAT 결과를 통틀어 관측된 가장 좋은 해로, 최적성에 대한 보장이 없다. </w:t>
      </w:r>
      <w:r>
        <w:rPr>
          <w:rFonts w:asciiTheme="minorEastAsia" w:hAnsiTheme="minorEastAsia"/>
        </w:rPr>
        <w:t xml:space="preserve">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Paper-SA-RL5와 Extended SA-RL5를 포함한 모든 메타휴리스틱의 종료 조건은 반복 횟수 1,000회로 통일한다. 한 반복은 선택된 연산자 하나로 후보해를 생성하고 평가하는 단계이며, GILS는 여기에 개선 시 하강 탐색을 더 수행한다. 원 모델은 CPU 시간으로 종료하지만 본 연구는 모든 방법에 같은 반복 횟수를 부여하였고, 반복당 계산량이 방법마다 다르므로 실행 시간은 &lt;Table 4&gt;에 함께 보고한다. CP-SAT는 인스턴스당 1회, 8 thread로 S에 300초(조건당 20개), M과 L에 600초(조건당 2개)를 부여하며, 최적성은 S-none 20개 전부와 S-medium 1개에서 증명된다. 보고하는 CP-SAT 계산 시간은 모형 구성과 solver 종료 처리를 포함한 wall-clock 시간이므로 명목 제한시간(600초)을 약간 넘을 수 있다.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5.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5.1 해 품질</w:t>
      </w:r>
    </w:p>
    <w:p w14:paraId="490A2427"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&lt;Table 4&gt;에 20개 인스턴스에 대한 시험 결과를 요약한다. CP-SAT가 기준해를 제공한 실험 조건에서 GILS는 이에 근접하며, 기본 선택 정책인 균등 선택 기준으로 그 격차는 평균 0.10–0.23%이다(학습 선택 정책을 포함한 전체 변형은 0.08–0.48%, 5.3절). 최적성이 증명된 S-none 20개 인스턴스에서 균등 선택 GILS는 최적해보다 평균 0.23% 높다.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1.44%(</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0.93%(</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0.49, 2.43초이다. CP-SAT가 기준해를 반환한 조건에서 CP-SAT의 평균 계산 시간은 S-none 40초, S-medium 245초, S-tight 250초, M-none 606초로 같은 조건의 GILS(각각 0.09, 0.09, 0.09, 0.47초)보다 100배 이상 길며, M의 시간 제약 조건과 L의 모든 조건에서는 CP-SAT가 제한시간 안에 실행 가능해를 반환하지 못했다.</w:t>
      </w:r>
    </w:p>
    <w:p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GILS는 개선 이동 뒤 하강 탐색을 추가로 수행하므로 같은 반복 횟수가 같은 계산량을 뜻하지는 않는다. 이를 통제하기 위해, 각 시험 실행(조건, 인스턴스, 반복)에서 GILS가 실제로 사용한 실행 시간을 같은 실행의 SA-RL5(시간 제약 조건은 Extended SA-RL5)에 그대로 부여하고 시간이 다할 때까지 반복하게 한 동일 wall-clock 비교를 추가로 수행하였다(&lt;Table 5&gt;). L에서는 SA-RL5가 평균 1,491회로 반복 1,000회 비교보다 약 1.5배의 탐색을 수행하지만(S에서는 GILS가 더 빨라 558회), GILS는 모든 규모에서 동일 시간의 SA-RL5보다 좋은 해를 찾았고(전체 평균 1.30%, </w:t>
      </w:r>
      <m:oMath>
        <m:r>
          <m:t>p</m:t>
        </m:r>
        <m:r>
          <m:rPr>
            <m:sty m:val="p"/>
          </m:rPr>
          <m:t>&lt;</m:t>
        </m:r>
        <m:r>
          <m:t>0.0001</m:t>
        </m:r>
      </m:oMath>
      <w:r>
        <w:rPr>
          <w:rFonts w:asciiTheme="minorEastAsia" w:hAnsiTheme="minorEastAsia"/>
        </w:rPr>
        <w:t xml:space="preserve">) SA-RL5가 앞선 인스턴스는 180개 중 하나도 없었다. 따라서 GILS의 성능 향상은 추가 계산량이 아니라 탐색 구조에서 비롯된다.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4.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(20 instances per S condition, 2 for M-none); optimality was proven for all 20 S-none instances and one S-medium instance. On that subset the mean CP-SAT runtime is 178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antSplit/>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1423.8 ± 383.8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1412.4 ± 382.0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+0.23</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5302.0 ± 1431.8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5259.4 ± 1412.1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9056.3 ± 2214.9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9011.9 ± 2206.5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3.72</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2979.2 ± 860.9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2929.5 ± 844.2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0.47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2.58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22821.9 ± 3985.3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1.65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0.54</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22513.0 ± 3960.7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0.50</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1.26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38811.1 ± 11075.1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0.99</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38501.1 ± 11067.3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5480.3 ± 1450.5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5383.9 ± 1423.8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55544.0 ± 17684.8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54825.9 ± 17531.9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2.47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119634.3 ± 31842.5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118863.6 ± 31785.2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2.45</w:t>
            </w:r>
          </w:p>
        </w:tc>
      </w:tr>
    </w:tbl>
    <w:p>
      <w:pPr>
        <w:rPr>
          <w:rFonts w:asciiTheme="minorEastAsia" w:hAnsiTheme="minorEastAsia"/>
        </w:rPr>
      </w:pP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5. Budget-fairness check (20 instances × 5 replications per condition). SA-RL5 denotes Paper-SA-RL5 on none and Extended SA-RL5 on medium/tight. Gain is the mean relative objective difference in favor of GILS-uniform; SA-RL5 wins counts instances where the time-matched SA-RL5 has the better replication mean. Two-sided Wilcoxon on per-instance replication means, p&lt;0.0001 in every row.</w:t>
      </w:r>
    </w:p>
    <w:tbl>
      <w:tblPr>
        <w:tblStyle w:val="Table"/>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700"/>
        <w:gridCol w:w="650"/>
        <w:gridCol w:w="1150"/>
        <w:gridCol w:w="2050"/>
        <w:gridCol w:w="1800"/>
        <w:gridCol w:w="1800"/>
        <w:gridCol w:w="115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7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Size</w:t>
            </w:r>
          </w:p>
        </w:tc>
        <w:tc>
          <w:tcPr>
            <w:tcW w:w="6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1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GILS time(s)</w:t>
            </w:r>
          </w:p>
        </w:tc>
        <w:tc>
          <w:tcPr>
            <w:tcW w:w="20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iterations (same time)</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1,000 it.(%)</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same time(%)</w:t>
            </w:r>
          </w:p>
        </w:tc>
        <w:tc>
          <w:tcPr>
            <w:tcW w:w="11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wins</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558</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+0.71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+1.45</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935</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+1.32</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+1.45</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2.43</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1,491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+1.27</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+1.01</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All</w:t>
            </w:r>
          </w:p>
        </w:tc>
        <w:tc>
          <w:tcPr>
            <w:tcW w:w="6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1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1.01</w:t>
            </w:r>
          </w:p>
        </w:tc>
        <w:tc>
          <w:tcPr>
            <w:tcW w:w="20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994</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+1.10</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+1.30</w:t>
            </w:r>
          </w:p>
        </w:tc>
        <w:tc>
          <w:tcPr>
            <w:tcW w:w="11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5.2 핵심 구성요소 분석: 성능은 어디에서 오는가</w:t>
      </w:r>
    </w:p>
    <w:p w14:paraId="7E2A3BBF"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480" w:lineRule="auto"/>
        <w:ind w:firstLine="216"/>
        <w:rPr>
          <w:rFonts w:asciiTheme="minorEastAsia" w:hAnsiTheme="minorEastAsia"/>
        </w:rPr>
      </w:pPr>
      <w:r>
        <w:rPr>
          <w:rFonts w:asciiTheme="minorEastAsia" w:hAnsiTheme="minorEastAsia"/>
          <w:b/>
          <w:bCs/>
        </w:rPr>
        <w:t xml:space="preserve">연산자 집합. 선택 정책을</w:t>
      </w:r>
      <w:r>
        <w:rPr>
          <w:rFonts w:asciiTheme="minorEastAsia" w:hAnsiTheme="minorEastAsia"/>
        </w:rPr>
        <w:t xml:space="preserve">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6&gt;)에서도 g1, g2 추가의 </w:t>
      </w:r>
      <w:r>
        <w:rPr>
          <w:rFonts w:asciiTheme="minorEastAsia" w:hAnsiTheme="minorEastAsia"/>
        </w:rPr>
        <w:t xml:space="preserve">효과가 뚜렷하다(</w:t>
      </w:r>
      <m:oMath>
        <m:r>
          <m:t>p</m:t>
        </m:r>
        <m:r>
          <m:rPr>
            <m:sty m:val="p"/>
          </m:rPr>
          <m:t>&lt;</m:t>
        </m:r>
        <m:r>
          <m:t>0.0001</m:t>
        </m:r>
      </m:oMath>
      <w:r>
        <w:rPr>
          <w:rFonts w:asciiTheme="minorEastAsia" w:hAnsiTheme="minorEastAsia"/>
        </w:rPr>
        <w:t xml:space="preserve">). 반면 g3, g4를 더한 효과는 +0.034%p로 작고(</w:t>
      </w:r>
      <m:oMath>
        <m:r>
          <m:t>p</m:t>
        </m:r>
        <m:r>
          <m:rPr>
            <m:sty m:val="p"/>
          </m:rPr>
          <m:t>=</m:t>
        </m:r>
        <m:r>
          <m:t>0.013</m:t>
        </m:r>
      </m:oMath>
      <w:r>
        <w:rPr>
          <w:rFonts w:asciiTheme="minorEastAsia" w:hAnsiTheme="minorEastAsia"/>
        </w:rPr>
        <w:t xml:space="preserve">), 시간 제약 유무로 나누면 유의하지 않아(</w:t>
      </w:r>
      <m:oMath>
        <m:r>
          <m:t>p</m:t>
        </m:r>
        <m:r>
          <m:rPr>
            <m:sty m:val="p"/>
          </m:rPr>
          <m:t>=</m:t>
        </m:r>
        <m:r>
          <m:t>0.051</m:t>
        </m:r>
      </m:oMath>
      <w:r>
        <w:rPr>
          <w:rFonts w:asciiTheme="minorEastAsia" w:hAnsiTheme="minorEastAsia"/>
        </w:rPr>
        <w:t xml:space="preserve">, </w:t>
      </w:r>
      <m:oMath>
        <m:r>
          <m:t>0.12</m:t>
        </m:r>
      </m:oMath>
      <w:r>
        <w:rPr>
          <w:rFonts w:asciiTheme="minorEastAsia" w:hAnsiTheme="minorEastAsia"/>
        </w:rPr>
        <w:t xml:space="preserve">) 보조적인 효과로 본다.</w:t>
      </w:r>
      <w:r>
        <w:rPr>
          <w:rFonts w:asciiTheme="minorEastAsia" w:hAnsiTheme="minorEastAsia"/>
        </w:rPr>
        <w:t xml:space="preserve">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0.01%p 높다. 따라서 유도 연산자의 이득은 대부분 g1, g2에서 나온다.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6.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+0.150</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+0.034</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0.0130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+0.184</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b/>
          <w:bCs/>
        </w:rPr>
        <w:t xml:space="preserve">엔진 구성요소.</w:t>
      </w:r>
      <w:r>
        <w:rPr>
          <w:rFonts w:asciiTheme="minorEastAsia" w:hAnsiTheme="minorEastAsia"/>
        </w:rPr>
        <w:t xml:space="preserve"> &lt;Table 7&gt;은 연산자 집합을 전체로, 선택 정책을 균등 선택으로 고정한 최종 엔진에서 구성요소를 하나씩 제거하거나 SA 수락 규칙과 reheating을 추가했을 때의 결과이다. 섭동 재시작을 제거했을 때 해가 가장 크게 나빠졌으며, 이 악화는 시간 제약 유무와 관계없이 유의하다. </w:t>
      </w:r>
      <w:r>
        <w:rPr>
          <w:rFonts w:asciiTheme="minorEastAsia" w:hAnsiTheme="minorEastAsia"/>
        </w:rPr>
        <w:t xml:space="preserve">하강 탐색 제거의 악화(+0.064%p, </w:t>
      </w:r>
      <m:oMath>
        <m:r>
          <m:t>p</m:t>
        </m:r>
        <m:r>
          <m:rPr>
            <m:sty m:val="p"/>
          </m:rPr>
          <m:t>=</m:t>
        </m:r>
        <m:r>
          <m:t>0.002</m:t>
        </m:r>
      </m:oMath>
      <w:r>
        <w:rPr>
          <w:rFonts w:asciiTheme="minorEastAsia" w:hAnsiTheme="minorEastAsia"/>
        </w:rPr>
        <w:t xml:space="preserve">)는 유의하지만 재시작 제거의 약 1/6 수준이다. 무작위 초기해의 악화(+0.057%p, </w:t>
      </w:r>
      <m:oMath>
        <m:r>
          <m:t>p</m:t>
        </m:r>
        <m:r>
          <m:rPr>
            <m:sty m:val="p"/>
          </m:rPr>
          <m:t>=</m:t>
        </m:r>
        <m:r>
          <m:t>0.049</m:t>
        </m:r>
      </m:oMath>
      <w:r>
        <w:rPr>
          <w:rFonts w:asciiTheme="minorEastAsia" w:hAnsiTheme="minorEastAsia"/>
        </w:rPr>
        <w:t xml:space="preserve">)는 경계 수준이고 시간 제약 유무로 나누면 유의하지 않으므로, VAA 초기해의 기여는 작고 보조적이다.</w:t>
      </w:r>
      <w:r>
        <w:rPr>
          <w:rFonts w:asciiTheme="minorEastAsia" w:hAnsiTheme="minorEastAsia"/>
        </w:rPr>
        <w:t xml:space="preserve"> SA 수락 규칙과 reheating을 추가하면 목적값이 오히려 나빠져, 조정 집합에서 정한 greedy 수락 규칙을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7.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71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400"/>
        <w:gridCol w:w="700"/>
        <w:gridCol w:w="1800"/>
        <w:gridCol w:w="120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400"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700"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800"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20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400"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700"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+0.064</w:t>
            </w:r>
          </w:p>
        </w:tc>
        <w:tc>
          <w:tcPr>
            <w:tcW w:w="120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0.0016</w:t>
            </w:r>
          </w:p>
        </w:tc>
      </w:tr>
      <w:tr w:rsidR="009A7C2A" w:rsidRPr="00E80019" w14:paraId="3FC44745" w14:textId="77777777" w:rsidTr="009A7C2A">
        <w:tc>
          <w:tcPr>
            <w:tcW w:w="3400"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700"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+0.375</w:t>
            </w:r>
          </w:p>
        </w:tc>
        <w:tc>
          <w:tcPr>
            <w:tcW w:w="120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400"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700"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+0.057</w:t>
            </w:r>
          </w:p>
        </w:tc>
        <w:tc>
          <w:tcPr>
            <w:tcW w:w="120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0.0495</w:t>
            </w:r>
          </w:p>
        </w:tc>
      </w:tr>
      <w:tr w:rsidR="009A7C2A" w:rsidRPr="00E80019" w14:paraId="3BE21D13" w14:textId="77777777" w:rsidTr="009A7C2A">
        <w:tc>
          <w:tcPr>
            <w:tcW w:w="3400"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700"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+0.036</w:t>
            </w:r>
          </w:p>
        </w:tc>
        <w:tc>
          <w:tcPr>
            <w:tcW w:w="120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0.0043</w:t>
            </w:r>
          </w:p>
        </w:tc>
      </w:tr>
    </w:tbl>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r w:rsidRPr="00E80019">
        <w:rPr>
          <w:rFonts w:asciiTheme="minorEastAsia" w:eastAsiaTheme="minorEastAsia" w:hAnsiTheme="minorEastAsia"/>
        </w:rPr>
        <w:t>5.3 보조 분석: 학습 기반 연산자 선택</w:t>
      </w:r>
    </w:p>
    <w:p w14:paraId="3CE9C580"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연산자 집합과 구성요소를 전체로 고정하고 선택 정책만 바꾸면(&lt;Table 8&gt;), 어떤 학습 정책도 균등 선택보다 좋지 않다. tabular Q-learning은 균등 선택보다 평균 0.040%p, transfer DQN은 0.093%p 나쁘며 둘 다 유의하다. 반복 횟수를 50–3,000회로 바꾸어도 모든 반복 횟수에서 균등 선택의 격차가 가장 작고, 3,000회에서만 tabular가 균등 선택에 근접한다(0.13% 대 0.12%). 이러한 결과는 무제약 조건만으로도 성립하므로(균등 선택 대비 tabular −0.040%p, DQN −0.124%p, 모두 p&lt;0.0001)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8.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−0.040</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+0.093</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 xml:space="preserve">5.4 납기지연 가중치 민감도</w:t>
      </w:r>
    </w:p>
    <w:p w14:paraId="29CCBBE8"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3&gt;)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0.6–1.2% 상승하고 평균 납기지연은 0.9–3.0%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을 채택한다: 완만한 총 작업완료시간 비용으로 납기지연이 </w:t>
      </w:r>
      <w:r>
        <w:rPr>
          <w:rFonts w:asciiTheme="minorEastAsia" w:hAnsiTheme="minorEastAsia"/>
        </w:rPr>
        <w:t xml:space="preserve">거의 최소에 이르며, 총 작업완료시간과 납기지연에 단위 시간당 동일한 벌점 계수를 부여한다. 다만 </w:t>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총 작업완료시간 대비 납기 준수를 얼마나 중시하는지를 나타내는 관리적 선호(managerial preference) 파라미터이며, 실제 적용에서는 운영 여건에 맞게 조정할 수 있다. </w:t>
      </w:r>
      <w:r>
        <w:rPr>
          <w:rFonts w:asciiTheme="minorEastAsia" w:hAnsiTheme="minorEastAsia"/>
        </w:rPr>
        <w:t xml:space="preserve">이 분석은 시험 성능 평가가 아니라, 조정 인스턴스를 이용해 해당 설계 선택의 타당성을 검증하기 위한 것이다.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3.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6. 논의</w:t>
      </w:r>
    </w:p>
    <w:p w14:paraId="45EEAEAE"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w:t>
      </w:r>
      <w:r>
        <w:rPr>
          <w:rFonts w:asciiTheme="minorEastAsia" w:hAnsiTheme="minorEastAsia"/>
        </w:rPr>
        <w:t xml:space="preserve">후보 하나의 평가에 수십–백수십 마이크로초(μs)밖에 들지 않아</w:t>
      </w:r>
      <w:r w:rsidRPr="00E80019">
        <w:rPr>
          <w:rFonts w:asciiTheme="minorEastAsia" w:hAnsiTheme="minorEastAsia"/>
        </w:rPr>
        <w:t xml:space="preserve"> 연산자를 잘 고르는 것보다 많이 시도하는 편이 유리하고, 모든 신규 최선해 뒤에 결정론적 하강 탐색이 따라붙어 어떤 연산자로 그 지점에 이르렀는지의 차이를 상당 부분 흡수한다. 반복 횟수별 격차 곡선도 1,000회 이후의 추가 개선이 작음을 보인다(조건당 5개 인스턴스에서 균등 선택의 격차는 1,000회 0.21%, 3,000회 0.12%이고, 45개 인스턴스 중 31개에서 개선 폭이 0.1%p 미만이다. 1,000회 값이 &lt;Table 4&gt;의 조건 평균 0.17%보다 큰 것은 기준 인스턴스가 조건당 20개 중 5개로 달라서이다). 정체 탈출은 섭동 재시작이 맡으므로 SA 수락 규칙과 reheating의 역할은 이와 겹치며, 조정 집합 비교와 시험 집합 ablation에서 이 둘이 해 품질을 높이지 않아 최종 VAA-GILS에서 제외하였다(3장, &lt;Table 7&gt;). 즉 본 문제에서 성능 향상은 주로 섭동 재시작, 유도 연산자, 결정론적 하강 탐색에서 비롯되며, 학습된 선택 정책과 확률적 수락 규칙의 추가적인 기여는 제한적이다.</w:t>
      </w:r>
    </w:p>
    <w:p w14:paraId="70B0260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같은 엔진, 같은 반복 횟수 아래에서 균등 선택과 견주어야 하며, 그 통제가 없으면 하강 탐색과 재시작, 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7. 결 론</w:t>
      </w:r>
    </w:p>
    <w:p w14:paraId="7CB436DB"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본 연구는 부분 하역된 병행 트럭이 출고 운송 트럭으로 전환된 뒤 다른 트럭에서 오는 이송 화물을 기다려야 하고, 이 대기가 트럭별 도착 시각 및 연성 납기와 결합하면서 지연이 공유 목적지를 따라 전파되는 구조를, 저자가 아는 한 처음으로 MILP와 CP-SAT 모형으로 정식화하였다. CP-SAT 기준해가 있는 실험 조건에서 VAA-GILS의 목적값은 해당 기준해 대비 평균 0.10–0.23%였고(소형 무제약 조건의 20개 인스턴스는 CP-SAT가 모두 최적성을 증명하였으며 최적해 대비 평균 격차는 0.23%였다), CP-SAT가 600초 안에 실행 가능해를 찾지 못한 대형 시간 제약 조건에서도 약 2.5초 안에 VAA와 Extended SA-RL5보다 좋은 해를 제공하였다. 동일 wall-clock 예산에서도 VAA-GILS는 SA-RL5보다 일관되게 우수하여, 성능 향상이 추가 계산량이 아니라 탐색 구조에서 비롯됨을 확인하였다. ablation은 성능이 섭동 재시작, 유도 연산자, 하강 탐색이라는 결정론적 구조에서 비롯되며, 학습 기반 연산자 선택과 확률적 수락 규칙은 이 환경에서 실용적 이득을 주지 않아 최종 알고리즘은 greedy 수락 규칙을 사용한다. 향후에는 도착 정보가 실시간으로 공개되는 동적 문제, 대형 시간 제약 조건에서 해 품질을 평가할 수 있는 강한 하한 기법, 산업 데이터를 활용한 사례 연구가 필요하다.</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r w:rsidRPr="00E80019">
        <w:rPr>
          <w:rFonts w:asciiTheme="minorEastAsia" w:eastAsiaTheme="minorEastAsia" w:hAnsiTheme="minorEastAsia"/>
        </w:rPr>
        <w:t xml:space="preserve">생성형 AI 활용 내역</w:t>
      </w:r>
    </w:p>
    <w:p w14:paraId="7ED7EA0E" w14:textId="77777777" w:rsidR="009A7C2A" w:rsidRPr="00E80019" w:rsidRDefault="00000000">
      <w:pPr>
        <w:pStyle w:val="FirstParagraph"/>
        <w:rPr>
          <w:rFonts w:asciiTheme="minorEastAsia" w:hAnsiTheme="minorEastAsia"/>
        </w:rPr>
      </w:pPr>
      <w:r>
        <w:rPr>
          <w:rFonts w:asciiTheme="minorEastAsia" w:hAnsiTheme="minorEastAsia"/>
        </w:rPr>
        <w:t xml:space="preserve">본 논문의 연구 및 작성 과정에서 저자는 OpenAI Codex(GPT-5, OpenAI)와 Claude Code(Anthropic)를 코드 작성 및 디버깅 보조와 논문의 문장 표현 및 가독성 개선을 위해 활용하였다. 생성형 AI의 도움을 받은 내용은 저자가 검토 및 수정하였으며, 논문의 모든 내용과 결과에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Abtahi, Z.(2025), Scheduling Compound Trucks with Various Arrival Times in a Multi-Door Cross-Docking System, </w:t>
      </w:r>
      <w:r w:rsidRPr="00E80019">
        <w:rPr>
          <w:rFonts w:asciiTheme="minorEastAsia" w:hAnsiTheme="minorEastAsia"/>
          <w:i/>
          <w:iCs/>
        </w:rPr>
        <w:t xml:space="preserve">Supply Chain and Operations Decision Making</w:t>
      </w:r>
      <w:r w:rsidRPr="00E80019">
        <w:rPr>
          <w:rFonts w:asciiTheme="minorEastAsia" w:hAnsiTheme="minorEastAsia"/>
        </w:rPr>
        <w:t xml:space="preserve">, 2(1), 21-30.</w:t>
      </w:r>
    </w:p>
    <w:p w14:paraId="43FCE756" w14:textId="77777777" w:rsidR="009A7C2A" w:rsidRPr="00E80019" w:rsidRDefault="00000000">
      <w:pPr>
        <w:pStyle w:val="FirstParagraph"/>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Karimi-Mamaghan, M., Mohammadi, M., Pasdeloup, B., and Meyer, P.(2023), Learning to Select Operators in Meta-Heuristics: An Integration of Q-Learning into the Iterated Greedy Algorithm for the Permutation Flowshop Scheduling Problem, </w:t>
      </w:r>
      <w:r w:rsidRPr="00E80019">
        <w:rPr>
          <w:rFonts w:asciiTheme="minorEastAsia" w:hAnsiTheme="minorEastAsia"/>
          <w:i/>
          <w:iCs/>
        </w:rPr>
        <w:t xml:space="preserve">European Journal of Operational Research</w:t>
      </w:r>
      <w:r w:rsidRPr="00E80019">
        <w:rPr>
          <w:rFonts w:asciiTheme="minorEastAsia" w:hAnsiTheme="minorEastAsia"/>
        </w:rPr>
        <w:t xml:space="preserve">, 304(3), 1296-1330.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 xml:space="preserve">Science</w:t>
      </w:r>
      <w:r w:rsidRPr="00E80019">
        <w:rPr>
          <w:rFonts w:asciiTheme="minorEastAsia" w:hAnsiTheme="minorEastAsia"/>
        </w:rPr>
        <w:t xml:space="preserve">, 220(4598), 671-680.</w:t>
      </w:r>
    </w:p>
    <w:p w14:paraId="0760561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 xml:space="preserve">European Journal of Operational Research</w:t>
      </w:r>
      <w:r w:rsidRPr="00E80019">
        <w:rPr>
          <w:rFonts w:asciiTheme="minorEastAsia" w:hAnsiTheme="minorEastAsia"/>
        </w:rPr>
        <w:t xml:space="preserve">, 312(2), 473-492.</w:t>
      </w:r>
    </w:p>
    <w:p w14:paraId="0B6821A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Lourenço, H. R., Martin, O. C., and Stützle, T.(2019), Iterated Local Search: Framework and Applications, In Gendreau, M. and Potvin, J.-Y.(Eds.), </w:t>
      </w:r>
      <w:r w:rsidRPr="00E80019">
        <w:rPr>
          <w:rFonts w:asciiTheme="minorEastAsia" w:hAnsiTheme="minorEastAsia"/>
          <w:i/>
          <w:iCs/>
        </w:rPr>
        <w:t xml:space="preserve">Handbook of Metaheuristics</w:t>
      </w:r>
      <w:r w:rsidRPr="00E80019">
        <w:rPr>
          <w:rFonts w:asciiTheme="minorEastAsia" w:hAnsiTheme="minorEastAsia"/>
        </w:rPr>
        <w:t xml:space="preserve">, Springer, Cham, 129-168.</w:t>
      </w:r>
    </w:p>
    <w:p w14:paraId="34E0152E"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Nowak, M. and Puladi, S.(2025), Value of Operational Flexibility in Cross-Docking, </w:t>
      </w:r>
      <w:r w:rsidRPr="00E80019">
        <w:rPr>
          <w:rFonts w:asciiTheme="minorEastAsia" w:hAnsiTheme="minorEastAsia"/>
          <w:i/>
          <w:iCs/>
        </w:rPr>
        <w:t xml:space="preserve">Computers &amp; Industrial Engineering</w:t>
      </w:r>
      <w:r w:rsidRPr="00E80019">
        <w:rPr>
          <w:rFonts w:asciiTheme="minorEastAsia" w:hAnsiTheme="minorEastAsia"/>
        </w:rPr>
        <w:t xml:space="preserve">, 209, 111423.</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Ozden, G. and Saricicek, I.(2019), Scheduling Trucks in a Multi-Door Cross-Docking System with Time Windows, </w:t>
      </w:r>
      <w:r w:rsidRPr="00E80019">
        <w:rPr>
          <w:rFonts w:asciiTheme="minorEastAsia" w:hAnsiTheme="minorEastAsia"/>
          <w:i/>
          <w:iCs/>
        </w:rPr>
        <w:t xml:space="preserve">Bulletin of the Polish Academy of Sciences: Technical Sciences</w:t>
      </w:r>
      <w:r w:rsidRPr="00E80019">
        <w:rPr>
          <w:rFonts w:asciiTheme="minorEastAsia" w:hAnsiTheme="minorEastAsia"/>
        </w:rPr>
        <w:t xml:space="preserve">, 67(2), 349-362.</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 xml:space="preserve">Mathematical Problems in Engineering</w:t>
      </w:r>
      <w:r w:rsidRPr="00E80019">
        <w:rPr>
          <w:rFonts w:asciiTheme="minorEastAsia" w:hAnsiTheme="minorEastAsia"/>
        </w:rPr>
        <w:t xml:space="preserve">, 2021, 5592122.</w:t>
      </w:r>
    </w:p>
    <w:p w14:paraId="7C7DC6B4"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Ropke, S. and Pisinger, D.(2006), An Adaptive Large Neighborhood Search Heuristic for the Pickup and Delivery Problem with Time Windows, </w:t>
      </w:r>
      <w:r w:rsidRPr="00E80019">
        <w:rPr>
          <w:rFonts w:asciiTheme="minorEastAsia" w:hAnsiTheme="minorEastAsia"/>
          <w:i/>
          <w:iCs/>
        </w:rPr>
        <w:t xml:space="preserve">Transportation Science</w:t>
      </w:r>
      <w:r w:rsidRPr="00E80019">
        <w:rPr>
          <w:rFonts w:asciiTheme="minorEastAsia" w:hAnsiTheme="minorEastAsia"/>
        </w:rPr>
        <w:t xml:space="preserve">, 40(4), 455-472.</w:t>
      </w:r>
    </w:p>
    <w:p w14:paraId="003CE5CD"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Theophilus, O., Dulebenets, M. A., Pasha, J., Lau, Y.-y., Fathollahi-Fard, A. M., and Mazaheri, A.(2021), Truck Scheduling Optimization at a Cold-Chain Cross-Docking Terminal with Product Perishability Considerations, </w:t>
      </w:r>
      <w:r w:rsidRPr="00E80019">
        <w:rPr>
          <w:rFonts w:asciiTheme="minorEastAsia" w:hAnsiTheme="minorEastAsia"/>
          <w:i/>
          <w:iCs/>
        </w:rPr>
        <w:t xml:space="preserve">Computers &amp; Industrial Engineering</w:t>
      </w:r>
      <w:r w:rsidRPr="00E80019">
        <w:rPr>
          <w:rFonts w:asciiTheme="minorEastAsia" w:hAnsiTheme="minorEastAsia"/>
        </w:rPr>
        <w:t xml:space="preserve">, 156, 107240.</w:t>
      </w:r>
    </w:p>
    <w:p w14:paraId="3B488712" w14:textId="77777777" w:rsidR="009A7C2A" w:rsidRPr="00E80019" w:rsidRDefault="00000000">
      <w:pPr>
        <w:pStyle w:val="a0"/>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