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 xml:space="preserve">We study truck scheduling in a multi-door cross-dock where a compound truck is partially unloaded and then departs as the carrier for its retained destination. Existing compound-truck models assume all trucks are available at time zero and minimize makespan only, whereas conventional models consider release times and due dates. We develop MIP and CP-SAT formulations incorporating release times, soft due dates, carrier conversion, and freight-transfer precedence. Late arrivals can delay carriers waiting for freight, and soft due dates translate these delays into tardiness costs. This delay-propagation mechanism has not, to our knowledge, been modeled for compound trucks. The objective minimizes makespan and total tardiness. VAA-GILS combines Vogel-style construction with bottleneck-guided local improvement. It remains within 0.06–0.25% of CP-SAT references in under 0.5 s and averages 0.25% above optimum on 20 S-none instances. When CP-SAT finds no feasible schedule within 600 s, VAA-GILS yields the best solutions among the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기존 병행 트럭 모델의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병행 트럭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전제하고, 병행 트럭을 다룬 연구(Shahmardan and Sajadieh, 2020; Nowak and Puladi, 2025)는 모든 트럭이 시각 0에 가용하다고 보고 총 작업완료시간만 최소화한다. 본 연구는 부분 하역 병행 트럭이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동일한 엔진과 동일한 반복 횟수의 균등 선택과 비교하는 통제된 ablation으로, 학습형 선택이 해를 개선한다는 보고와 달리 강한 지역탐색을 갖춘 본 해법에서는 그 이득이 나타나지 않음을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조망에 정리되어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와 납기지연과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지역탐색을 갖춘 뒤에는 학습 기반 선택 정책의 이득이 작다는 통제된 반례를 더한다. 대표 연구와 본 연구의 문제와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평가기의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현재 최선해(incumbent)와 증명된 하한을 함께 반환하며, 하한과 일치가 증명될 때에만 최적으로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이 규칙은 조정 집합에서 모의 담금질(simulated annealing; Kirkpatrick 등, 1983) 수락 규칙, 즉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냉각(geometric cooling)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쓰는 규칙과 비교해 </w:t>
      </w:r>
      <w:r>
        <w:rPr>
          <w:rFonts w:asciiTheme="minorEastAsia" w:hAnsiTheme="minorEastAsia"/>
        </w:rPr>
        <w:t xml:space="preserve">정하였다. 조정 집합 45개 인스턴스 중 33개에서 SA 수락 규칙의 목적값이 탐욕적 규칙보다 높아, 인스턴스별 순위 기준으로는 탐욕적 규칙이 유의하게 좋았다(차이의 중앙값 +0.017%p, 양측 Wilcoxon </w:t>
      </w:r>
      <m:oMath>
        <m:r>
          <m:t>p</m:t>
        </m:r>
        <m:r>
          <m:rPr>
            <m:sty m:val="p"/>
          </m:rPr>
          <m:t>=</m:t>
        </m:r>
        <m:r>
          <m:t>0.023</m:t>
        </m:r>
      </m:oMath>
      <w:r>
        <w:rPr>
          <w:rFonts w:asciiTheme="minorEastAsia" w:hAnsiTheme="minorEastAsia"/>
        </w:rPr>
        <w:t xml:space="preserve">). 평균 차이(−0.011%p)가 음수인 것은 한 인스턴스의 큰 차이 때문이며 SA의 우위를 뜻하지 않는다.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&gt;</m:t>
        </m:r>
        <m:r>
          <m:t>0.05</m:t>
        </m:r>
      </m:oMath>
      <w:r>
        <w:rPr>
          <w:rFonts w:asciiTheme="minorEastAsia" w:hAnsiTheme="minorEastAsia"/>
        </w:rPr>
        <w:t xml:space="preserve">)으로 나누면 어느 쪽에서도 두 규칙의 차이는 유의하지 않았다.</w:t>
      </w:r>
      <w:r>
        <w:rPr>
          <w:rFonts w:asciiTheme="minorEastAsia" w:hAnsiTheme="minorEastAsia"/>
        </w:rPr>
        <w:t xml:space="preserve"/>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ε-greedy 탐험(exploration)과 룰렛 활용(exploitation)을 쓰되, 보상은 원 모델의 이진 보상(후보가 현재 해보다 나쁘지 않으면 1, 아니면 0) 대신 현재 최선해 갱신 2, 비악화 1, 그 외 0의 셰이핑 보상(shaped reward)을 사용한다.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0.06–0.50%, 5.3절). 최적성이 증명된 S-none 20개 인스턴스에서 균등 선택 GILS는 최적해보다 평균 0.25%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S-none 40초, S-medium 245초, S-tight 250초, M-none 606초로 같은 조건의 GILS(각각 0.09, 0.09, 0.09, 0.48초)보다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2,020회로 반복 1,000회 비교보다 약 2배의 탐색을 수행하지만(S에서는 GILS가 더 빨라 586회), GILS는 모든 규모에서 동일 시간의 SA-RL5보다 좋은 해를 찾았고(전체 평균 1.08%,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179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r>
    </w:tbl>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586</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+0.61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+1.24</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3.17</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2,020</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+0.76</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1.27</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1,236</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+1.05</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+1.08</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+0.025%p로 작고 전체 45쌍에서의 유의성도 경계 수준이며(</w:t>
      </w:r>
      <m:oMath>
        <m:r>
          <m:t>p</m:t>
        </m:r>
        <m:r>
          <m:rPr>
            <m:sty m:val="p"/>
          </m:rPr>
          <m:t>=</m:t>
        </m:r>
        <m:r>
          <m:t>0.032</m:t>
        </m:r>
      </m:oMath>
      <w:r>
        <w:rPr>
          <w:rFonts w:asciiTheme="minorEastAsia" w:hAnsiTheme="minorEastAsia"/>
        </w:rPr>
        <w:t xml:space="preserve">), 시간 제약 유무로 나누면 유의하지 않아(</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연산자 집합을 전체로, 선택 정책을 균등 선택으로 고정한 최종 엔진에서 구성요소를 하나씩 제거하거나 SA 수락 규칙과 reheating을 추가하면(&lt;Table 7&gt;) 섭동 재시작 제거에 따른 악화가 가장 크고 시간 제약 유무와 관계없이 유의하다. </w:t>
      </w:r>
      <w:r>
        <w:rPr>
          <w:rFonts w:asciiTheme="minorEastAsia" w:hAnsiTheme="minorEastAsia"/>
        </w:rPr>
        <w:t xml:space="preserve">하강 탐색 제거의 악화(+0.041%p, </w:t>
      </w:r>
      <m:oMath>
        <m:r>
          <m:t>p</m:t>
        </m:r>
        <m:r>
          <m:rPr>
            <m:sty m:val="p"/>
          </m:rPr>
          <m:t>=</m:t>
        </m:r>
        <m:r>
          <m:t>0.003</m:t>
        </m:r>
      </m:oMath>
      <w:r>
        <w:rPr>
          <w:rFonts w:asciiTheme="minorEastAsia" w:hAnsiTheme="minorEastAsia"/>
        </w:rPr>
        <w:t xml:space="preserve">)는 유의하지만 재시작 제거의 약 1/9 수준이다. 무작위 초기해의 악화(+0.043%p, </w:t>
      </w:r>
      <m:oMath>
        <m:r>
          <m:t>p</m:t>
        </m:r>
        <m:r>
          <m:rPr>
            <m:sty m:val="p"/>
          </m:rPr>
          <m:t>=</m:t>
        </m:r>
        <m:r>
          <m:t>0.048</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섭동 재시작이 맡으므로 SA 수락 규칙과 reheating의 역할은 이와 겹치며, 조정 집합 비교와 시험 집합 ablation에서 이 둘이 해 품질을 높이지 않아 최종 VAA-GILS에서 제외하였다(4장, &lt;Table 7&gt;). 즉 본 문제에서 성능의 본질은 학습된 선택 정책이나 확률적 수락 규칙이 아니라 섭동 재시작, 유도 연산자, 결정론적 하강 탐색에 있다.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0.06–0.25%였고(소형 무제약 조건의 20개 인스턴스는 CP-SAT가 모두 최적성을 증명하였으며 최적해 대비 평균 격차는 0.25%였다), CP-SAT가 600초 안에 실행 가능해를 찾지 못한 대형 시간 제약 조건에서도 약 3초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