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28"/>
          <w:szCs w:val="28"/>
        </w:rPr>
        <w:t xml:space="preserve">From Cryptographic Inventory to Migration Decisions: An Explainable Crypto-Agility Framework for Digital Financial Ecosystems</w:t>
      </w:r>
    </w:p>
    <w:p>
      <w:pPr>
        <w:spacing w:after="240"/>
        <w:jc w:val="center"/>
      </w:pPr>
      <w:r>
        <w:rPr>
          <w:rFonts w:ascii="Times New Roman" w:cs="Times New Roman" w:eastAsia="Times New Roman" w:hAnsi="Times New Roman"/>
          <w:i/>
          <w:iCs/>
          <w:sz w:val="20"/>
          <w:szCs w:val="20"/>
        </w:rPr>
        <w:t xml:space="preserve">Anonymous Author(s)</w:t>
      </w:r>
    </w:p>
    <w:p>
      <w:pPr>
        <w:spacing w:after="120"/>
        <w:jc w:val="both"/>
      </w:pP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sz w:val="20"/>
          <w:szCs w:val="20"/>
        </w:rPr>
        <w:t xml:space="preserve">Modern digital financial platforms are interconnected systems of web APIs, payment gateways, identity and trust services and middleware, and partner interfaces - all sharing cryptographic dependencies. A crypto inventory does not directly indicate whether an asset can or should be migrated, when, or with which confidence. This paper proposes FCAF, a method of determining evidence-based migration readiness and confidence from Cryptography Bill of Materials (CBOM) evidence plus component-matched observations at runtime, while keeping domain-specific migration priorities separate from technical readiness. Confidence is derived from the completeness of evidence rather than encoded into a maturity score, and evidence gaps are explicitly "Not Assessed" rather than scored as zero. In a controlled synthetic payment-system case study of 5 algorithm assets across 3 component classes, FCAF yielded differing migration priorities for assets with equal maturity. An internal test suite confirms consistency with the method's rules, but external validity is limited to this controlled experiment.</w:t>
      </w:r>
    </w:p>
    <w:p>
      <w:pPr>
        <w:spacing w:after="24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crypto agility, post-quantum migration, digital financial infrastructure, Cryptography Bill of Materials, migration readiness, evidence confidence.</w:t>
      </w:r>
    </w:p>
    <w:p>
      <w:pPr>
        <w:spacing w:after="120" w:before="240"/>
        <w:jc w:val="left"/>
      </w:pPr>
      <w:r>
        <w:rPr>
          <w:rFonts w:ascii="Times New Roman" w:cs="Times New Roman" w:eastAsia="Times New Roman" w:hAnsi="Times New Roman"/>
          <w:b/>
          <w:bCs/>
          <w:color w:val="000000"/>
          <w:sz w:val="24"/>
          <w:szCs w:val="24"/>
        </w:rPr>
        <w:t xml:space="preserve">1   Introduction</w:t>
      </w:r>
    </w:p>
    <w:p>
      <w:pPr>
        <w:spacing w:after="120" w:before="0"/>
        <w:ind/>
        <w:jc w:val="both"/>
      </w:pPr>
      <w:r>
        <w:rPr>
          <w:rFonts w:ascii="Times New Roman" w:cs="Times New Roman" w:eastAsia="Times New Roman" w:hAnsi="Times New Roman"/>
          <w:b w:val="false"/>
          <w:bCs w:val="false"/>
          <w:i w:val="false"/>
          <w:iCs w:val="false"/>
          <w:sz w:val="20"/>
          <w:szCs w:val="20"/>
        </w:rPr>
        <w:t xml:space="preserve">Modern financial platforms exist as broad digital ecosystems: web APIs, payment gateways, identity/trust services, middleware, and connections to external financial services all share cryptographic dependencies. The deprecation or replacement of a cryptographic primitive therefore touches on the security, trust, interoperability, and operational resilience of the entire platform, and receives increased regulatory attention - for instance, India's Reserve Bank has established the Q-SAFE expert committee to advise on cryptographic inventory, crypto agility, mission-critical systems, and post-quantum transition planning [2]. However, a cryptographic inventory alone does not indicate whether a particular asset is technically ready to be transitioned (or "migrated"), with what confidence such readiness can be asserted given limited evidence, or with what priority migration should proceed. Crypto-agility literature provides high-level guidance [3–6] but usually takes the form of qualitative recommendations, while crypto inventory efforts and tools [1,8,9] have focused on representation rather than migration-readiness indicators.</w:t>
      </w:r>
    </w:p>
    <w:p>
      <w:pPr>
        <w:spacing w:after="120" w:before="0"/>
        <w:ind/>
        <w:jc w:val="both"/>
      </w:pPr>
      <w:r>
        <w:rPr>
          <w:rFonts w:ascii="Times New Roman" w:cs="Times New Roman" w:eastAsia="Times New Roman" w:hAnsi="Times New Roman"/>
          <w:b w:val="false"/>
          <w:bCs w:val="false"/>
          <w:i w:val="false"/>
          <w:iCs w:val="false"/>
          <w:sz w:val="20"/>
          <w:szCs w:val="20"/>
        </w:rPr>
        <w:t xml:space="preserve">This leads to the research question: how can cryptographic inventory and runtime observations be processed into confidence-aware migration decisions for interconnected digital financial systems? How can such systems be evaluated for crypto-agility maturity using CBOM evidence and component-matched runtime observations? How should incomplete evidence be treated in such an assessment? How can migration-readiness analysis be kept independent from domain-specific prioritization factors while still informing them? To what extent can such an approach differentiate between assets in terms of migration priorities? This paper introduces FCAF (Financial Crypto-Agility Assessment Framework), which addresses these questions by</w:t>
      </w:r>
    </w:p>
    <w:p>
      <w:pPr>
        <w:spacing w:after="60"/>
        <w:ind w:left="431"/>
        <w:jc w:val="both"/>
      </w:pPr>
      <w:r>
        <w:rPr>
          <w:rFonts w:ascii="Times New Roman" w:cs="Times New Roman" w:eastAsia="Times New Roman" w:hAnsi="Times New Roman"/>
          <w:sz w:val="20"/>
          <w:szCs w:val="20"/>
        </w:rPr>
        <w:t xml:space="preserve">•  developing deterministic crypto-agility indicators from CBOM evidence and component-matched observations at runtime,</w:t>
      </w:r>
    </w:p>
    <w:p>
      <w:pPr>
        <w:spacing w:after="60"/>
        <w:ind w:left="431"/>
        <w:jc w:val="both"/>
      </w:pPr>
      <w:r>
        <w:rPr>
          <w:rFonts w:ascii="Times New Roman" w:cs="Times New Roman" w:eastAsia="Times New Roman" w:hAnsi="Times New Roman"/>
          <w:sz w:val="20"/>
          <w:szCs w:val="20"/>
        </w:rPr>
        <w:t xml:space="preserve">•  explicitly representing "Not Assessed" evidence as such rather than encoding it as zeroes,</w:t>
      </w:r>
    </w:p>
    <w:p>
      <w:pPr>
        <w:spacing w:after="60"/>
        <w:ind w:left="431"/>
        <w:jc w:val="both"/>
      </w:pPr>
      <w:r>
        <w:rPr>
          <w:rFonts w:ascii="Times New Roman" w:cs="Times New Roman" w:eastAsia="Times New Roman" w:hAnsi="Times New Roman"/>
          <w:sz w:val="20"/>
          <w:szCs w:val="20"/>
        </w:rPr>
        <w:t xml:space="preserve">•  keeping technical readiness separate from domain-specific prioritization factors, and</w:t>
      </w:r>
    </w:p>
    <w:p>
      <w:pPr>
        <w:spacing w:after="120"/>
        <w:ind w:left="431"/>
        <w:jc w:val="both"/>
      </w:pPr>
      <w:r>
        <w:rPr>
          <w:rFonts w:ascii="Times New Roman" w:cs="Times New Roman" w:eastAsia="Times New Roman" w:hAnsi="Times New Roman"/>
          <w:sz w:val="20"/>
          <w:szCs w:val="20"/>
        </w:rPr>
        <w:t xml:space="preserve">•  demonstrating the differential priorities that can be generated from the same evidence in a controlled synthetic payment-system case study.</w:t>
      </w:r>
    </w:p>
    <w:p>
      <w:pPr>
        <w:spacing w:after="120" w:before="240"/>
        <w:jc w:val="left"/>
      </w:pPr>
      <w:r>
        <w:rPr>
          <w:rFonts w:ascii="Times New Roman" w:cs="Times New Roman" w:eastAsia="Times New Roman" w:hAnsi="Times New Roman"/>
          <w:b/>
          <w:bCs/>
          <w:color w:val="000000"/>
          <w:sz w:val="24"/>
          <w:szCs w:val="24"/>
        </w:rPr>
        <w:t xml:space="preserve">2   Related Work</w:t>
      </w:r>
    </w:p>
    <w:p>
      <w:pPr>
        <w:spacing w:after="120" w:before="0"/>
        <w:ind/>
        <w:jc w:val="both"/>
      </w:pPr>
      <w:r>
        <w:rPr>
          <w:rFonts w:ascii="Times New Roman" w:cs="Times New Roman" w:eastAsia="Times New Roman" w:hAnsi="Times New Roman"/>
          <w:b w:val="false"/>
          <w:bCs w:val="false"/>
          <w:i w:val="false"/>
          <w:iCs w:val="false"/>
          <w:sz w:val="20"/>
          <w:szCs w:val="20"/>
        </w:rPr>
        <w:t xml:space="preserve">Crypto agility has been addressed in IETF recommendations [6], maturity models such as CAMM [3], risk-oriented frameworks such as CARAF [4], and NIST's considerations for achieving crypto agility [5], which emphasize inventory, coordination costs, and protocol negotiation. However, these approaches have taken the form of qualitative guidance rather than deterministic processing of component-inventory and protocol-negotiation evidence. CBOM itself takes the form of machine-readable cryptographic inventory [8], while additional static [1] and dynamic [9] analyses can be performed to identify algorithms and assess protocol negotiation. This paper's contribution builds upon the literature's qualitative approaches to crypto agility and post-quantum migration, and explores a specific implementation of component-level readiness assessment using CBOM, protocol negotiation, and domain-specific weights. Mosca's inequality for the urgency of post-quantum transition [7] informs readiness for migration in the face of an imminent cryptanalytic breakthrough, while national treatment guidance [10–12] addresses algorithm-specific considerations for post-quantum transition planning. However, these approaches apply to all assets in a system, while a migration-readiness analysis must be specific to individual assets.</w:t>
      </w:r>
    </w:p>
    <w:p>
      <w:pPr>
        <w:spacing w:after="120" w:before="240"/>
        <w:jc w:val="left"/>
      </w:pPr>
      <w:r>
        <w:rPr>
          <w:rFonts w:ascii="Times New Roman" w:cs="Times New Roman" w:eastAsia="Times New Roman" w:hAnsi="Times New Roman"/>
          <w:b/>
          <w:bCs/>
          <w:color w:val="000000"/>
          <w:sz w:val="24"/>
          <w:szCs w:val="24"/>
        </w:rPr>
        <w:t xml:space="preserve">3   FCAF: Evidence-to-Decision Method</w:t>
      </w:r>
    </w:p>
    <w:p>
      <w:pPr>
        <w:spacing w:after="120" w:before="0"/>
        <w:ind/>
        <w:jc w:val="both"/>
      </w:pPr>
      <w:r>
        <w:rPr>
          <w:rFonts w:ascii="Times New Roman" w:cs="Times New Roman" w:eastAsia="Times New Roman" w:hAnsi="Times New Roman"/>
          <w:b w:val="false"/>
          <w:bCs w:val="false"/>
          <w:i w:val="false"/>
          <w:iCs w:val="false"/>
          <w:sz w:val="20"/>
          <w:szCs w:val="20"/>
        </w:rPr>
        <w:t xml:space="preserve">FCAF is a decision-support method, implemented as a research prototype, which aims to process inventory and protocol-negotiation evidence into explainable readiness indicators per cryptographic asset. It operates on static CBOM evidence in the CycloneDX format [8], which enumerates each identified algorithm, their occurrences (files), and cryptographic material; component-matched dynamic evidence identifying the negotiated TLS version and hybrid-negotiation status [9]; and a domain-specific mapping of source locations to component names and business-criticality weights.</w:t>
      </w:r>
    </w:p>
    <w:p>
      <w:pPr>
        <w:spacing w:after="120" w:before="0"/>
        <w:ind/>
        <w:jc w:val="both"/>
      </w:pPr>
      <w:r>
        <w:rPr>
          <w:rFonts w:ascii="Times New Roman" w:cs="Times New Roman" w:eastAsia="Times New Roman" w:hAnsi="Times New Roman"/>
          <w:b w:val="false"/>
          <w:bCs w:val="false"/>
          <w:i w:val="false"/>
          <w:iCs w:val="false"/>
          <w:sz w:val="20"/>
          <w:szCs w:val="20"/>
        </w:rPr>
        <w:t xml:space="preserve">For each algorithm asset, FCAF calculates four evidence-based dimensions of crypto-agility maturity (Table 1) and a compound maturity score (minimum of the four dimensions). Each dimension is scored 1–4 based on supporting evidence, or “Not Assessed” if no relevant evidence is present for that dimension. Maturity is not determined by the number of dimensions that are assessed but by the minimum level actually found, with “Not Assessed” dimensions excluded from the calculation. Confidence in the result depends on the number of dimensions with assessed evidence: all four yield High, three yield Medium, and fewer yield Low. Priority is calculated independently from maturity and confidence as:</w:t>
      </w:r>
    </w:p>
    <w:p>
      <w:pPr>
        <w:spacing w:after="120" w:before="120"/>
        <w:jc w:val="center"/>
      </w:pPr>
      <w:r>
        <w:rPr>
          <w:rFonts w:ascii="Times New Roman" w:cs="Times New Roman" w:eastAsia="Times New Roman" w:hAnsi="Times New Roman"/>
          <w:i/>
          <w:iCs/>
          <w:sz w:val="20"/>
          <w:szCs w:val="20"/>
        </w:rPr>
        <w:t xml:space="preserve">priority = algorithm_risk × business_criticality × (5 − maturity)</w:t>
      </w:r>
    </w:p>
    <w:p>
      <w:pPr>
        <w:spacing w:after="120" w:before="0"/>
        <w:ind/>
        <w:jc w:val="both"/>
      </w:pPr>
      <w:r>
        <w:rPr>
          <w:rFonts w:ascii="Times New Roman" w:cs="Times New Roman" w:eastAsia="Times New Roman" w:hAnsi="Times New Roman"/>
          <w:b w:val="false"/>
          <w:bCs w:val="false"/>
          <w:i w:val="false"/>
          <w:iCs w:val="false"/>
          <w:sz w:val="20"/>
          <w:szCs w:val="20"/>
        </w:rPr>
        <w:t xml:space="preserve">The algorithm_risk factor uses a prototype pattern-matching heuristic to identify known weak algorithm names and map them to a risk score, while business-criticality weights follow PCI DSS Requirement 4 guidelines [13] for the components involved. The term (5 − maturity) ensures that the lowest overall maturity score has the highest priority value and vice versa, but never yields a zero value - and similarly, for components that could not be mapped to a known business-criticality class, a zero weight is used instead of a default value. Finally, the recommendation text and projected “impact chain” for maturity improvements are generated as planning guidance, rather than measurements.</w:t>
      </w:r>
    </w:p>
    <w:p>
      <w:pPr>
        <w:spacing w:after="80" w:before="160"/>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D1–D4: Evidence-based crypto-agility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400"/>
            <w:shd w:fill="D9D9D9" w:color="auto" w:val="clear"/>
            <w:tcMar>
              <w:top w:type="dxa" w:w="40"/>
              <w:left w:type="dxa" w:w="80"/>
              <w:bottom w:type="dxa" w:w="40"/>
              <w:right w:type="dxa" w:w="80"/>
            </w:tcMar>
          </w:tcPr>
          <w:p>
            <w:pPr>
              <w:spacing w:after="40" w:before="40"/>
              <w:jc w:val="left"/>
            </w:pPr>
            <w:r>
              <w:rPr>
                <w:rFonts w:ascii="Times New Roman" w:cs="Times New Roman" w:eastAsia="Times New Roman" w:hAnsi="Times New Roman"/>
                <w:b/>
                <w:bCs/>
                <w:sz w:val="18"/>
                <w:szCs w:val="18"/>
              </w:rPr>
              <w:t xml:space="preserve">#</w:t>
            </w:r>
          </w:p>
        </w:tc>
        <w:tc>
          <w:tcPr>
            <w:tcW w:type="dxa" w:w="2200"/>
            <w:shd w:fill="D9D9D9" w:color="auto" w:val="clear"/>
            <w:tcMar>
              <w:top w:type="dxa" w:w="40"/>
              <w:left w:type="dxa" w:w="80"/>
              <w:bottom w:type="dxa" w:w="40"/>
              <w:right w:type="dxa" w:w="80"/>
            </w:tcMar>
          </w:tcPr>
          <w:p>
            <w:pPr>
              <w:spacing w:after="40" w:before="40"/>
              <w:jc w:val="left"/>
            </w:pPr>
            <w:r>
              <w:rPr>
                <w:rFonts w:ascii="Times New Roman" w:cs="Times New Roman" w:eastAsia="Times New Roman" w:hAnsi="Times New Roman"/>
                <w:b/>
                <w:bCs/>
                <w:sz w:val="18"/>
                <w:szCs w:val="18"/>
              </w:rPr>
              <w:t xml:space="preserve">Decision question</w:t>
            </w:r>
          </w:p>
        </w:tc>
        <w:tc>
          <w:tcPr>
            <w:tcW w:type="dxa" w:w="3000"/>
            <w:shd w:fill="D9D9D9" w:color="auto" w:val="clear"/>
            <w:tcMar>
              <w:top w:type="dxa" w:w="40"/>
              <w:left w:type="dxa" w:w="80"/>
              <w:bottom w:type="dxa" w:w="40"/>
              <w:right w:type="dxa" w:w="80"/>
            </w:tcMar>
          </w:tcPr>
          <w:p>
            <w:pPr>
              <w:spacing w:after="40" w:before="40"/>
              <w:jc w:val="left"/>
            </w:pPr>
            <w:r>
              <w:rPr>
                <w:rFonts w:ascii="Times New Roman" w:cs="Times New Roman" w:eastAsia="Times New Roman" w:hAnsi="Times New Roman"/>
                <w:b/>
                <w:bCs/>
                <w:sz w:val="18"/>
                <w:szCs w:val="18"/>
              </w:rPr>
              <w:t xml:space="preserve">Evidence</w:t>
            </w:r>
          </w:p>
        </w:tc>
        <w:tc>
          <w:tcPr>
            <w:tcW w:type="dxa" w:w="3760"/>
            <w:shd w:fill="D9D9D9" w:color="auto" w:val="clear"/>
            <w:tcMar>
              <w:top w:type="dxa" w:w="40"/>
              <w:left w:type="dxa" w:w="80"/>
              <w:bottom w:type="dxa" w:w="40"/>
              <w:right w:type="dxa" w:w="80"/>
            </w:tcMar>
          </w:tcPr>
          <w:p>
            <w:pPr>
              <w:spacing w:after="40" w:before="40"/>
              <w:jc w:val="left"/>
            </w:pPr>
            <w:r>
              <w:rPr>
                <w:rFonts w:ascii="Times New Roman" w:cs="Times New Roman" w:eastAsia="Times New Roman" w:hAnsi="Times New Roman"/>
                <w:b/>
                <w:bCs/>
                <w:sz w:val="18"/>
                <w:szCs w:val="18"/>
              </w:rPr>
              <w:t xml:space="preserve">Interpretation</w:t>
            </w:r>
          </w:p>
        </w:tc>
      </w:tr>
      <w:tr>
        <w:tc>
          <w:tcPr>
            <w:tcW w:type="dxa" w:w="4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D1</w:t>
            </w:r>
          </w:p>
        </w:tc>
        <w:tc>
          <w:tcPr>
            <w:tcW w:type="dxa" w:w="22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Coordination required to replace the asset?</w:t>
            </w:r>
          </w:p>
        </w:tc>
        <w:tc>
          <w:tcPr>
            <w:tcW w:type="dxa" w:w="30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Primitive type (signature/pke/kem, key-agreement, hash, MAC, KDF)</w:t>
            </w:r>
          </w:p>
        </w:tc>
        <w:tc>
          <w:tcPr>
            <w:tcW w:type="dxa" w:w="376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Lower number of involved parties → higher level</w:t>
            </w:r>
          </w:p>
        </w:tc>
      </w:tr>
      <w:tr>
        <w:tc>
          <w:tcPr>
            <w:tcW w:type="dxa" w:w="4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D2</w:t>
            </w:r>
          </w:p>
        </w:tc>
        <w:tc>
          <w:tcPr>
            <w:tcW w:type="dxa" w:w="22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How distributed is the implementation?</w:t>
            </w:r>
          </w:p>
        </w:tc>
        <w:tc>
          <w:tcPr>
            <w:tcW w:type="dxa" w:w="30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Distinct source locations sharing the algorithm OID</w:t>
            </w:r>
          </w:p>
        </w:tc>
        <w:tc>
          <w:tcPr>
            <w:tcW w:type="dxa" w:w="376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Fewer locations → higher level</w:t>
            </w:r>
          </w:p>
        </w:tc>
      </w:tr>
      <w:tr>
        <w:tc>
          <w:tcPr>
            <w:tcW w:type="dxa" w:w="4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D3</w:t>
            </w:r>
          </w:p>
        </w:tc>
        <w:tc>
          <w:tcPr>
            <w:tcW w:type="dxa" w:w="22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Does runtime evidence show protocol adaptability?</w:t>
            </w:r>
          </w:p>
        </w:tc>
        <w:tc>
          <w:tcPr>
            <w:tcW w:type="dxa" w:w="30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Negotiated TLS version, hybrid-negotiation status</w:t>
            </w:r>
          </w:p>
        </w:tc>
        <w:tc>
          <w:tcPr>
            <w:tcW w:type="dxa" w:w="376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Hybrid/newer TLS → higher level</w:t>
            </w:r>
          </w:p>
        </w:tc>
      </w:tr>
      <w:tr>
        <w:tc>
          <w:tcPr>
            <w:tcW w:type="dxa" w:w="4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D4</w:t>
            </w:r>
          </w:p>
        </w:tc>
        <w:tc>
          <w:tcPr>
            <w:tcW w:type="dxa" w:w="22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What persistent material creates lifecycle dependency?</w:t>
            </w:r>
          </w:p>
        </w:tc>
        <w:tc>
          <w:tcPr>
            <w:tcW w:type="dxa" w:w="30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Related material type (certificate, private key) from CBOM dependencies</w:t>
            </w:r>
          </w:p>
        </w:tc>
        <w:tc>
          <w:tcPr>
            <w:tcW w:type="dxa" w:w="376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No material → higher level (not proof of ephemerality)</w:t>
            </w:r>
          </w:p>
        </w:tc>
      </w:tr>
    </w:tbl>
    <w:p>
      <w:pPr>
        <w:spacing w:after="120"/>
      </w:pPr>
    </w:p>
    <w:p>
      <w:pPr>
        <w:spacing w:after="120" w:before="240"/>
        <w:jc w:val="left"/>
      </w:pPr>
      <w:r>
        <w:rPr>
          <w:rFonts w:ascii="Times New Roman" w:cs="Times New Roman" w:eastAsia="Times New Roman" w:hAnsi="Times New Roman"/>
          <w:b/>
          <w:bCs/>
          <w:color w:val="000000"/>
          <w:sz w:val="24"/>
          <w:szCs w:val="24"/>
        </w:rPr>
        <w:t xml:space="preserve">4   Controlled Evaluation</w:t>
      </w:r>
    </w:p>
    <w:p>
      <w:pPr>
        <w:spacing w:after="120" w:before="0"/>
        <w:ind/>
        <w:jc w:val="both"/>
      </w:pPr>
      <w:r>
        <w:rPr>
          <w:rFonts w:ascii="Times New Roman" w:cs="Times New Roman" w:eastAsia="Times New Roman" w:hAnsi="Times New Roman"/>
          <w:b w:val="false"/>
          <w:bCs w:val="false"/>
          <w:i w:val="false"/>
          <w:iCs w:val="false"/>
          <w:sz w:val="20"/>
          <w:szCs w:val="20"/>
        </w:rPr>
        <w:t xml:space="preserve">For this evaluation, FCAF was tested on a controlled synthetic payment-system case study, rather than production data. The case study includes 5 algorithm assets and 3 component types (Table 2). The prototype is implemented in Python and Streamlit, and operated on the input data to generate calculated results (D1–D4 scores, maturity, confidence, priority) and recommendation text. This section distinguishes between the measured evidence (CBOM entries and matched runtime observations), the calculated results, and the projected guidance (recommendation text and impact projection).</w:t>
      </w:r>
    </w:p>
    <w:p>
      <w:pPr>
        <w:spacing w:after="120" w:before="0"/>
        <w:ind/>
        <w:jc w:val="both"/>
      </w:pPr>
      <w:r>
        <w:rPr>
          <w:rFonts w:ascii="Times New Roman" w:cs="Times New Roman" w:eastAsia="Times New Roman" w:hAnsi="Times New Roman"/>
          <w:b w:val="false"/>
          <w:bCs w:val="false"/>
          <w:i w:val="false"/>
          <w:iCs w:val="false"/>
          <w:sz w:val="20"/>
          <w:szCs w:val="20"/>
        </w:rPr>
        <w:t xml:space="preserve">The implementation was tested with 184 automated tests, all of which passed without failures or skips. The tests targeted the parsing of various input formats, the calculation rules for D1–D4, maturity, confidence, recommendation text, planning impact projection, and report generation. They serve to confirm that the implementation follows the method as described, but do not establish external validity in a production environment.</w:t>
      </w:r>
    </w:p>
    <w:p>
      <w:pPr>
        <w:spacing w:after="120" w:before="240"/>
        <w:jc w:val="left"/>
      </w:pPr>
      <w:r>
        <w:rPr>
          <w:rFonts w:ascii="Times New Roman" w:cs="Times New Roman" w:eastAsia="Times New Roman" w:hAnsi="Times New Roman"/>
          <w:b/>
          <w:bCs/>
          <w:color w:val="000000"/>
          <w:sz w:val="24"/>
          <w:szCs w:val="24"/>
        </w:rPr>
        <w:t xml:space="preserve">5   Results and Discussion</w:t>
      </w:r>
    </w:p>
    <w:p>
      <w:pPr>
        <w:spacing w:after="120" w:before="0"/>
        <w:ind/>
        <w:jc w:val="both"/>
      </w:pPr>
      <w:r>
        <w:rPr>
          <w:rFonts w:ascii="Times New Roman" w:cs="Times New Roman" w:eastAsia="Times New Roman" w:hAnsi="Times New Roman"/>
          <w:b w:val="false"/>
          <w:bCs w:val="false"/>
          <w:i w:val="false"/>
          <w:iCs w:val="false"/>
          <w:sz w:val="20"/>
          <w:szCs w:val="20"/>
        </w:rPr>
        <w:t xml:space="preserve">Table 2 summarises the results for the 5 algorithm assets. ECDSA-secp256r1-SHA-256 and SHA-256 both belong to the Payment Gateway component but have very different maturity scores, resulting in dissimilar priorities despite the same business-criticality weight. This shows that the same domain-specific weights can lead to drastically different migration-priority scores depending on the algorithm asset. The difference in RSA–EC priorities reflects the current prototype's limited risk-assessment capabilities: the RSA-2048 asset's name has a weak pattern match against known vulnerable algorithms, elevating its risk score compared to EC-secp256r1, which has no known weak patterns. This is not to say that RSA-2048 is objectively riskier than ECDSA, but that the prototype risk assessment currently treats it as such. Similarly, FFDH's Low confidence rating stems from the combination of D3 and D4 being “Not Assessed.” Finally, for the Level 4 asset, having all four dimensions at the maximum level indicates that no further improvements will improve its maturity.</w:t>
      </w:r>
    </w:p>
    <w:p>
      <w:pPr>
        <w:spacing w:after="120" w:before="0"/>
        <w:ind/>
        <w:jc w:val="both"/>
      </w:pPr>
      <w:r>
        <w:rPr>
          <w:rFonts w:ascii="Times New Roman" w:cs="Times New Roman" w:eastAsia="Times New Roman" w:hAnsi="Times New Roman"/>
          <w:b w:val="false"/>
          <w:bCs w:val="false"/>
          <w:i w:val="false"/>
          <w:iCs w:val="false"/>
          <w:sz w:val="20"/>
          <w:szCs w:val="20"/>
        </w:rPr>
        <w:t xml:space="preserve">Three observations can be made from these results. First, migration priorities are not identical between assets: the priority values range from 2.0 to 12.0 within this case study. This means that readiness differs between assets, and a migration programme can use this information to establish priorities rather than treating all findings as equal. Second, the same maturity level can yield different priorities: comparing RSA-2048 (Level 2, priority 7.2) and EC-secp256r1 (Level 2, priority 4.8) shows that, for the same readiness, one asset has a much higher priority than the other. This reflects the difference in their risk scores, which are currently determined by pattern-matching heuristic rather than independent assessment. Finally, the evidence does not always point to a single readiness state: comparing the D1 and D4 scores for ECDSA shows that while its pervasive presence (D1) contributes to a Low level, its high coordination requirements are the constraining factor for its maturity and therefore priority. Similar considerations apply to the other assets and are typical for many Web Science analyses of digital public infrastructure: post-quantum migration in a connected financial environment is not simply a matter of algorithm substitution, but of assessing the impact on the ecosystem’s trust, interoperability, and evidence-governance infrastructure. The discussion of these findings is limited to the controlled case study, as external validity has not been established.</w:t>
      </w:r>
    </w:p>
    <w:p>
      <w:pPr>
        <w:spacing w:after="80" w:before="160"/>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Results summary for the 5 algorithm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W w:type="dxa" w:w="2000"/>
            <w:shd w:fill="D9D9D9" w:color="auto" w:val="clear"/>
            <w:tcMar>
              <w:top w:type="dxa" w:w="40"/>
              <w:left w:type="dxa" w:w="80"/>
              <w:bottom w:type="dxa" w:w="40"/>
              <w:right w:type="dxa" w:w="80"/>
            </w:tcMar>
          </w:tcPr>
          <w:p>
            <w:pPr>
              <w:spacing w:after="40" w:before="40"/>
              <w:jc w:val="left"/>
            </w:pPr>
            <w:r>
              <w:rPr>
                <w:rFonts w:ascii="Times New Roman" w:cs="Times New Roman" w:eastAsia="Times New Roman" w:hAnsi="Times New Roman"/>
                <w:b/>
                <w:bCs/>
                <w:sz w:val="18"/>
                <w:szCs w:val="18"/>
              </w:rPr>
              <w:t xml:space="preserve">Asset</w:t>
            </w:r>
          </w:p>
        </w:tc>
        <w:tc>
          <w:tcPr>
            <w:tcW w:type="dxa" w:w="1800"/>
            <w:shd w:fill="D9D9D9" w:color="auto" w:val="clear"/>
            <w:tcMar>
              <w:top w:type="dxa" w:w="40"/>
              <w:left w:type="dxa" w:w="80"/>
              <w:bottom w:type="dxa" w:w="40"/>
              <w:right w:type="dxa" w:w="80"/>
            </w:tcMar>
          </w:tcPr>
          <w:p>
            <w:pPr>
              <w:spacing w:after="40" w:before="40"/>
              <w:jc w:val="left"/>
            </w:pPr>
            <w:r>
              <w:rPr>
                <w:rFonts w:ascii="Times New Roman" w:cs="Times New Roman" w:eastAsia="Times New Roman" w:hAnsi="Times New Roman"/>
                <w:b/>
                <w:bCs/>
                <w:sz w:val="18"/>
                <w:szCs w:val="18"/>
              </w:rPr>
              <w:t xml:space="preserve">Component</w:t>
            </w:r>
          </w:p>
        </w:tc>
        <w:tc>
          <w:tcPr>
            <w:tcW w:type="dxa" w:w="700"/>
            <w:shd w:fill="D9D9D9" w:color="auto" w:val="clear"/>
            <w:tcMar>
              <w:top w:type="dxa" w:w="40"/>
              <w:left w:type="dxa" w:w="80"/>
              <w:bottom w:type="dxa" w:w="40"/>
              <w:right w:type="dxa" w:w="80"/>
            </w:tcMar>
          </w:tcPr>
          <w:p>
            <w:pPr>
              <w:spacing w:after="40" w:before="40"/>
              <w:jc w:val="left"/>
            </w:pPr>
            <w:r>
              <w:rPr>
                <w:rFonts w:ascii="Times New Roman" w:cs="Times New Roman" w:eastAsia="Times New Roman" w:hAnsi="Times New Roman"/>
                <w:b/>
                <w:bCs/>
                <w:sz w:val="18"/>
                <w:szCs w:val="18"/>
              </w:rPr>
              <w:t xml:space="preserve">Mat.</w:t>
            </w:r>
          </w:p>
        </w:tc>
        <w:tc>
          <w:tcPr>
            <w:tcW w:type="dxa" w:w="700"/>
            <w:shd w:fill="D9D9D9" w:color="auto" w:val="clear"/>
            <w:tcMar>
              <w:top w:type="dxa" w:w="40"/>
              <w:left w:type="dxa" w:w="80"/>
              <w:bottom w:type="dxa" w:w="40"/>
              <w:right w:type="dxa" w:w="80"/>
            </w:tcMar>
          </w:tcPr>
          <w:p>
            <w:pPr>
              <w:spacing w:after="40" w:before="40"/>
              <w:jc w:val="left"/>
            </w:pPr>
            <w:r>
              <w:rPr>
                <w:rFonts w:ascii="Times New Roman" w:cs="Times New Roman" w:eastAsia="Times New Roman" w:hAnsi="Times New Roman"/>
                <w:b/>
                <w:bCs/>
                <w:sz w:val="18"/>
                <w:szCs w:val="18"/>
              </w:rPr>
              <w:t xml:space="preserve">Conf.</w:t>
            </w:r>
          </w:p>
        </w:tc>
        <w:tc>
          <w:tcPr>
            <w:tcW w:type="dxa" w:w="700"/>
            <w:shd w:fill="D9D9D9" w:color="auto" w:val="clear"/>
            <w:tcMar>
              <w:top w:type="dxa" w:w="40"/>
              <w:left w:type="dxa" w:w="80"/>
              <w:bottom w:type="dxa" w:w="40"/>
              <w:right w:type="dxa" w:w="80"/>
            </w:tcMar>
          </w:tcPr>
          <w:p>
            <w:pPr>
              <w:spacing w:after="40" w:before="40"/>
              <w:jc w:val="left"/>
            </w:pPr>
            <w:r>
              <w:rPr>
                <w:rFonts w:ascii="Times New Roman" w:cs="Times New Roman" w:eastAsia="Times New Roman" w:hAnsi="Times New Roman"/>
                <w:b/>
                <w:bCs/>
                <w:sz w:val="18"/>
                <w:szCs w:val="18"/>
              </w:rPr>
              <w:t xml:space="preserve">Prio.</w:t>
            </w:r>
          </w:p>
        </w:tc>
        <w:tc>
          <w:tcPr>
            <w:tcW w:type="dxa" w:w="3460"/>
            <w:shd w:fill="D9D9D9" w:color="auto" w:val="clear"/>
            <w:tcMar>
              <w:top w:type="dxa" w:w="40"/>
              <w:left w:type="dxa" w:w="80"/>
              <w:bottom w:type="dxa" w:w="40"/>
              <w:right w:type="dxa" w:w="80"/>
            </w:tcMar>
          </w:tcPr>
          <w:p>
            <w:pPr>
              <w:spacing w:after="40" w:before="40"/>
              <w:jc w:val="left"/>
            </w:pPr>
            <w:r>
              <w:rPr>
                <w:rFonts w:ascii="Times New Roman" w:cs="Times New Roman" w:eastAsia="Times New Roman" w:hAnsi="Times New Roman"/>
                <w:b/>
                <w:bCs/>
                <w:sz w:val="18"/>
                <w:szCs w:val="18"/>
              </w:rPr>
              <w:t xml:space="preserve">Key interpretation</w:t>
            </w:r>
          </w:p>
        </w:tc>
      </w:tr>
      <w:tr>
        <w:tc>
          <w:tcPr>
            <w:tcW w:type="dxa" w:w="20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ECDSA-secp256r1-SHA-256</w:t>
            </w:r>
          </w:p>
        </w:tc>
        <w:tc>
          <w:tcPr>
            <w:tcW w:type="dxa" w:w="18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Payment Gateway</w:t>
            </w:r>
          </w:p>
        </w:tc>
        <w:tc>
          <w:tcPr>
            <w:tcW w:type="dxa" w:w="7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Level 1</w:t>
            </w:r>
          </w:p>
        </w:tc>
        <w:tc>
          <w:tcPr>
            <w:tcW w:type="dxa" w:w="7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Medium</w:t>
            </w:r>
          </w:p>
        </w:tc>
        <w:tc>
          <w:tcPr>
            <w:tcW w:type="dxa" w:w="7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12.0</w:t>
            </w:r>
          </w:p>
        </w:tc>
        <w:tc>
          <w:tcPr>
            <w:tcW w:type="dxa" w:w="346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Coordination complexity binds despite localised evidence</w:t>
            </w:r>
          </w:p>
        </w:tc>
      </w:tr>
      <w:tr>
        <w:tc>
          <w:tcPr>
            <w:tcW w:type="dxa" w:w="20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RSA-2048</w:t>
            </w:r>
          </w:p>
        </w:tc>
        <w:tc>
          <w:tcPr>
            <w:tcW w:type="dxa" w:w="18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PKI Infrastructure</w:t>
            </w:r>
          </w:p>
        </w:tc>
        <w:tc>
          <w:tcPr>
            <w:tcW w:type="dxa" w:w="7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Level 2</w:t>
            </w:r>
          </w:p>
        </w:tc>
        <w:tc>
          <w:tcPr>
            <w:tcW w:type="dxa" w:w="7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Medium</w:t>
            </w:r>
          </w:p>
        </w:tc>
        <w:tc>
          <w:tcPr>
            <w:tcW w:type="dxa" w:w="7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7.2</w:t>
            </w:r>
          </w:p>
        </w:tc>
        <w:tc>
          <w:tcPr>
            <w:tcW w:type="dxa" w:w="346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Elevated by name-pattern risk</w:t>
            </w:r>
          </w:p>
        </w:tc>
      </w:tr>
      <w:tr>
        <w:tc>
          <w:tcPr>
            <w:tcW w:type="dxa" w:w="20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EC-secp256r1</w:t>
            </w:r>
          </w:p>
        </w:tc>
        <w:tc>
          <w:tcPr>
            <w:tcW w:type="dxa" w:w="18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PKI Infrastructure</w:t>
            </w:r>
          </w:p>
        </w:tc>
        <w:tc>
          <w:tcPr>
            <w:tcW w:type="dxa" w:w="7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Level 2</w:t>
            </w:r>
          </w:p>
        </w:tc>
        <w:tc>
          <w:tcPr>
            <w:tcW w:type="dxa" w:w="7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Medium</w:t>
            </w:r>
          </w:p>
        </w:tc>
        <w:tc>
          <w:tcPr>
            <w:tcW w:type="dxa" w:w="7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4.8</w:t>
            </w:r>
          </w:p>
        </w:tc>
        <w:tc>
          <w:tcPr>
            <w:tcW w:type="dxa" w:w="346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Same maturity, lower risk flag</w:t>
            </w:r>
          </w:p>
        </w:tc>
      </w:tr>
      <w:tr>
        <w:tc>
          <w:tcPr>
            <w:tcW w:type="dxa" w:w="20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FFDH</w:t>
            </w:r>
          </w:p>
        </w:tc>
        <w:tc>
          <w:tcPr>
            <w:tcW w:type="dxa" w:w="18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VPN Infrastructure</w:t>
            </w:r>
          </w:p>
        </w:tc>
        <w:tc>
          <w:tcPr>
            <w:tcW w:type="dxa" w:w="7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Level 2</w:t>
            </w:r>
          </w:p>
        </w:tc>
        <w:tc>
          <w:tcPr>
            <w:tcW w:type="dxa" w:w="7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Low</w:t>
            </w:r>
          </w:p>
        </w:tc>
        <w:tc>
          <w:tcPr>
            <w:tcW w:type="dxa" w:w="7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3.6</w:t>
            </w:r>
          </w:p>
        </w:tc>
        <w:tc>
          <w:tcPr>
            <w:tcW w:type="dxa" w:w="346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D3/D4: Not Assessed</w:t>
            </w:r>
          </w:p>
        </w:tc>
      </w:tr>
      <w:tr>
        <w:tc>
          <w:tcPr>
            <w:tcW w:type="dxa" w:w="20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SHA-256</w:t>
            </w:r>
          </w:p>
        </w:tc>
        <w:tc>
          <w:tcPr>
            <w:tcW w:type="dxa" w:w="18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Payment Gateway</w:t>
            </w:r>
          </w:p>
        </w:tc>
        <w:tc>
          <w:tcPr>
            <w:tcW w:type="dxa" w:w="7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Level 4</w:t>
            </w:r>
          </w:p>
        </w:tc>
        <w:tc>
          <w:tcPr>
            <w:tcW w:type="dxa" w:w="7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Medium</w:t>
            </w:r>
          </w:p>
        </w:tc>
        <w:tc>
          <w:tcPr>
            <w:tcW w:type="dxa" w:w="70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2.0</w:t>
            </w:r>
          </w:p>
        </w:tc>
        <w:tc>
          <w:tcPr>
            <w:tcW w:type="dxa" w:w="3460"/>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18"/>
                <w:szCs w:val="18"/>
              </w:rPr>
              <w:t xml:space="preserve">Level 4 across all dimensions; no recommendation under current rubric</w:t>
            </w:r>
          </w:p>
        </w:tc>
      </w:tr>
    </w:tbl>
    <w:p>
      <w:pPr>
        <w:spacing w:after="120"/>
      </w:pPr>
    </w:p>
    <w:p>
      <w:pPr>
        <w:spacing w:after="120" w:before="240"/>
        <w:jc w:val="left"/>
      </w:pPr>
      <w:r>
        <w:rPr>
          <w:rFonts w:ascii="Times New Roman" w:cs="Times New Roman" w:eastAsia="Times New Roman" w:hAnsi="Times New Roman"/>
          <w:b/>
          <w:bCs/>
          <w:color w:val="000000"/>
          <w:sz w:val="24"/>
          <w:szCs w:val="24"/>
        </w:rPr>
        <w:t xml:space="preserve">6   Limitations</w:t>
      </w:r>
    </w:p>
    <w:p>
      <w:pPr>
        <w:spacing w:after="120" w:before="0"/>
        <w:ind/>
        <w:jc w:val="both"/>
      </w:pPr>
      <w:r>
        <w:rPr>
          <w:rFonts w:ascii="Times New Roman" w:cs="Times New Roman" w:eastAsia="Times New Roman" w:hAnsi="Times New Roman"/>
          <w:b w:val="false"/>
          <w:bCs w:val="false"/>
          <w:i w:val="false"/>
          <w:iCs w:val="false"/>
          <w:sz w:val="20"/>
          <w:szCs w:val="20"/>
        </w:rPr>
        <w:t xml:space="preserve">These findings are based on synthetic evidence rather than information from a production environment, and the case study only includes 5 algorithm assets and 3 component types. The component categorization was done manually rather than with expert assistance, and D2’s implementation only uses the number of source locations as a proxy for distributedness, rather than direct evidence of implementation separation. Dynamic analysis was limited to the observations capabilities of the evaluated tool, and D4 does not consider evidence of ephemeral material, only the absence of persistent material. The business-criticality weights also require expert review before applying to a real environment, and the timing projections only use assumptions rather than actual measurements. No additional domain or production inventory was evaluated, no post-remediation scan was used to check projected maturity, and no comparison was made to human analysts using the same input data. Further research is needed to evaluate the method’s external validity, and a natural continuation of this work would be to apply the method to an expanded but similar inventory with expert assistance and perform a follow-up scan after remediation actions.</w:t>
      </w:r>
    </w:p>
    <w:p>
      <w:pPr>
        <w:spacing w:after="120" w:before="240"/>
        <w:jc w:val="left"/>
      </w:pPr>
      <w:r>
        <w:rPr>
          <w:rFonts w:ascii="Times New Roman" w:cs="Times New Roman" w:eastAsia="Times New Roman" w:hAnsi="Times New Roman"/>
          <w:b/>
          <w:bCs/>
          <w:color w:val="000000"/>
          <w:sz w:val="24"/>
          <w:szCs w:val="24"/>
        </w:rPr>
        <w:t xml:space="preserve">7   Conclusion</w:t>
      </w:r>
    </w:p>
    <w:p>
      <w:pPr>
        <w:spacing w:after="120" w:before="0"/>
        <w:ind/>
        <w:jc w:val="both"/>
      </w:pPr>
      <w:r>
        <w:rPr>
          <w:rFonts w:ascii="Times New Roman" w:cs="Times New Roman" w:eastAsia="Times New Roman" w:hAnsi="Times New Roman"/>
          <w:b w:val="false"/>
          <w:bCs w:val="false"/>
          <w:i w:val="false"/>
          <w:iCs w:val="false"/>
          <w:sz w:val="20"/>
          <w:szCs w:val="20"/>
        </w:rPr>
        <w:t xml:space="preserve">Interpreting cryptographic inventory for migration decisions requires more than just an inventory: it requires evidence-based migration-readiness scoring, explicit consideration of confidence in the evidence, and domain-specific prioritization independent from but informed by readiness. FCAF uses CBOM and component-matched observations to calculate four dimensions of crypto-agility readiness, explicitly marks gaps in evidence for those dimensions, and determines migration-priority weights independent from readiness and confidence. Using this approach on a controlled synthetic payment-system case study produced different migration-priority scores for different algorithm assets, informing a prioritized remediation schedule. Evidence completeness played a role in determining readiness and confidence, and the same maturity level for two assets did not yield identical priorities. However, the evaluation was limited to a small set of synthetic evidence, and further research is needed to establish external validity.</w:t>
      </w:r>
    </w:p>
    <w:p>
      <w:pPr>
        <w:spacing w:after="120" w:before="240"/>
      </w:pPr>
      <w:r>
        <w:rPr>
          <w:rFonts w:ascii="Times New Roman" w:cs="Times New Roman" w:eastAsia="Times New Roman" w:hAnsi="Times New Roman"/>
          <w:b/>
          <w:bCs/>
          <w:sz w:val="24"/>
          <w:szCs w:val="24"/>
        </w:rPr>
        <w:t xml:space="preserve">References</w:t>
      </w:r>
    </w:p>
    <w:p>
      <w:pPr>
        <w:spacing w:after="80"/>
        <w:ind w:left="431" w:hanging="431"/>
        <w:jc w:val="both"/>
      </w:pPr>
      <w:r>
        <w:rPr>
          <w:rFonts w:ascii="Times New Roman" w:cs="Times New Roman" w:eastAsia="Times New Roman" w:hAnsi="Times New Roman"/>
          <w:sz w:val="20"/>
          <w:szCs w:val="20"/>
        </w:rPr>
        <w:t xml:space="preserve">1.	CBOMKit Sonar Cryptography Plugin (CBOMkit-Hyperion). [Online]. Available: https://github.com/cbomkit/sonar-cryptography</w:t>
      </w:r>
    </w:p>
    <w:p>
      <w:pPr>
        <w:spacing w:after="80"/>
        <w:ind w:left="431" w:hanging="431"/>
        <w:jc w:val="both"/>
      </w:pPr>
      <w:r>
        <w:rPr>
          <w:rFonts w:ascii="Times New Roman" w:cs="Times New Roman" w:eastAsia="Times New Roman" w:hAnsi="Times New Roman"/>
          <w:sz w:val="20"/>
          <w:szCs w:val="20"/>
        </w:rPr>
        <w:t xml:space="preserve">2.	Reserve Bank of India: Quantum Secure and Adaptive Financial Ecosystem (Q-SAFE) – Setting up of an Expert Committee. Press Release 2026-2027/325, 25 May 2026.</w:t>
      </w:r>
    </w:p>
    <w:p>
      <w:pPr>
        <w:spacing w:after="80"/>
        <w:ind w:left="431" w:hanging="431"/>
        <w:jc w:val="both"/>
      </w:pPr>
      <w:r>
        <w:rPr>
          <w:rFonts w:ascii="Times New Roman" w:cs="Times New Roman" w:eastAsia="Times New Roman" w:hAnsi="Times New Roman"/>
          <w:sz w:val="20"/>
          <w:szCs w:val="20"/>
        </w:rPr>
        <w:t xml:space="preserve">3.	Hohm, J., Heinemann, A., Wiesmaier, A.: Towards a maturity model for crypto-agility assessment. arXiv:2202.07645 (2022)</w:t>
      </w:r>
    </w:p>
    <w:p>
      <w:pPr>
        <w:spacing w:after="80"/>
        <w:ind w:left="431" w:hanging="431"/>
        <w:jc w:val="both"/>
      </w:pPr>
      <w:r>
        <w:rPr>
          <w:rFonts w:ascii="Times New Roman" w:cs="Times New Roman" w:eastAsia="Times New Roman" w:hAnsi="Times New Roman"/>
          <w:sz w:val="20"/>
          <w:szCs w:val="20"/>
        </w:rPr>
        <w:t xml:space="preserve">4.	Ma, C., Colon, L., Dera, J., Rashidi, B., Garg, V.: CARAF: Crypto Agility Risk Assessment Framework. J. Cybersecurity 7(1), tyab013 (2021). doi:10.1093/cybsec/tyab013</w:t>
      </w:r>
    </w:p>
    <w:p>
      <w:pPr>
        <w:spacing w:after="80"/>
        <w:ind w:left="431" w:hanging="431"/>
        <w:jc w:val="both"/>
      </w:pPr>
      <w:r>
        <w:rPr>
          <w:rFonts w:ascii="Times New Roman" w:cs="Times New Roman" w:eastAsia="Times New Roman" w:hAnsi="Times New Roman"/>
          <w:sz w:val="20"/>
          <w:szCs w:val="20"/>
        </w:rPr>
        <w:t xml:space="preserve">5.	Barker, E., et al.: Considerations for Achieving Crypto Agility: Strategies and Practices. NIST CSWP 39 (2025). doi:10.6028/NIST.CSWP.39</w:t>
      </w:r>
    </w:p>
    <w:p>
      <w:pPr>
        <w:spacing w:after="80"/>
        <w:ind w:left="431" w:hanging="431"/>
        <w:jc w:val="both"/>
      </w:pPr>
      <w:r>
        <w:rPr>
          <w:rFonts w:ascii="Times New Roman" w:cs="Times New Roman" w:eastAsia="Times New Roman" w:hAnsi="Times New Roman"/>
          <w:sz w:val="20"/>
          <w:szCs w:val="20"/>
        </w:rPr>
        <w:t xml:space="preserve">6.	Housley, R.: Guidelines for Cryptographic Algorithm Agility and Selecting Mandatory-to-Implement Algorithms. IETF RFC 7696 (2015). doi:10.17487/RFC7696</w:t>
      </w:r>
    </w:p>
    <w:p>
      <w:pPr>
        <w:spacing w:after="80"/>
        <w:ind w:left="431" w:hanging="431"/>
        <w:jc w:val="both"/>
      </w:pPr>
      <w:r>
        <w:rPr>
          <w:rFonts w:ascii="Times New Roman" w:cs="Times New Roman" w:eastAsia="Times New Roman" w:hAnsi="Times New Roman"/>
          <w:sz w:val="20"/>
          <w:szCs w:val="20"/>
        </w:rPr>
        <w:t xml:space="preserve">7.	Mosca, M.: Cybersecurity in an Era with Quantum Computers: Will We Be Ready? IEEE Security &amp; Privacy 16(5), 38–41 (2018). doi:10.1109/MSP.2018.3761723</w:t>
      </w:r>
    </w:p>
    <w:p>
      <w:pPr>
        <w:spacing w:after="80"/>
        <w:ind w:left="431" w:hanging="431"/>
        <w:jc w:val="both"/>
      </w:pPr>
      <w:r>
        <w:rPr>
          <w:rFonts w:ascii="Times New Roman" w:cs="Times New Roman" w:eastAsia="Times New Roman" w:hAnsi="Times New Roman"/>
          <w:sz w:val="20"/>
          <w:szCs w:val="20"/>
        </w:rPr>
        <w:t xml:space="preserve">8.	OWASP CycloneDX: Authoritative Guide to CBOM (2024). Available: https://cyclonedx.org/guides/OWASP_CycloneDX-Authoritative-Guide-to-CBOM-en.pdf</w:t>
      </w:r>
    </w:p>
    <w:p>
      <w:pPr>
        <w:spacing w:after="80"/>
        <w:ind w:left="431" w:hanging="431"/>
        <w:jc w:val="both"/>
      </w:pPr>
      <w:r>
        <w:rPr>
          <w:rFonts w:ascii="Times New Roman" w:cs="Times New Roman" w:eastAsia="Times New Roman" w:hAnsi="Times New Roman"/>
          <w:sz w:val="20"/>
          <w:szCs w:val="20"/>
        </w:rPr>
        <w:t xml:space="preserve">9.	CryptoLyzer. [Online]. Available: https://github.com/c0r0n3r/cryptolyzer</w:t>
      </w:r>
    </w:p>
    <w:p>
      <w:pPr>
        <w:spacing w:after="80"/>
        <w:ind w:left="431" w:hanging="431"/>
        <w:jc w:val="both"/>
      </w:pPr>
      <w:r>
        <w:rPr>
          <w:rFonts w:ascii="Times New Roman" w:cs="Times New Roman" w:eastAsia="Times New Roman" w:hAnsi="Times New Roman"/>
          <w:sz w:val="20"/>
          <w:szCs w:val="20"/>
        </w:rPr>
        <w:t xml:space="preserve">10.	Webber, M., Elfving, V., Weidt, S., Hensinger, W.K.: The impact of hardware specifications on reaching quantum advantage in the fault tolerant regime. AVS Quantum Sci. 4(1), 013801 (2022). doi:10.1116/5.0073075</w:t>
      </w:r>
    </w:p>
    <w:p>
      <w:pPr>
        <w:spacing w:after="80"/>
        <w:ind w:left="431" w:hanging="431"/>
        <w:jc w:val="both"/>
      </w:pPr>
      <w:r>
        <w:rPr>
          <w:rFonts w:ascii="Times New Roman" w:cs="Times New Roman" w:eastAsia="Times New Roman" w:hAnsi="Times New Roman"/>
          <w:sz w:val="20"/>
          <w:szCs w:val="20"/>
        </w:rPr>
        <w:t xml:space="preserve">11.	National Security Agency: Commercial National Security Algorithm Suite 2.0 (CNSA 2.0) (2022)</w:t>
      </w:r>
    </w:p>
    <w:p>
      <w:pPr>
        <w:spacing w:after="80"/>
        <w:ind w:left="431" w:hanging="431"/>
        <w:jc w:val="both"/>
      </w:pPr>
      <w:r>
        <w:rPr>
          <w:rFonts w:ascii="Times New Roman" w:cs="Times New Roman" w:eastAsia="Times New Roman" w:hAnsi="Times New Roman"/>
          <w:sz w:val="20"/>
          <w:szCs w:val="20"/>
        </w:rPr>
        <w:t xml:space="preserve">12.	National Institute of Standards and Technology: Transition to Post-Quantum Cryptography Standards. NIST IR 8547 (Initial Public Draft) (2024)</w:t>
      </w:r>
    </w:p>
    <w:p>
      <w:pPr>
        <w:spacing w:after="80"/>
        <w:ind w:left="431" w:hanging="431"/>
        <w:jc w:val="both"/>
      </w:pPr>
      <w:r>
        <w:rPr>
          <w:rFonts w:ascii="Times New Roman" w:cs="Times New Roman" w:eastAsia="Times New Roman" w:hAnsi="Times New Roman"/>
          <w:sz w:val="20"/>
          <w:szCs w:val="20"/>
        </w:rPr>
        <w:t xml:space="preserve">13.	PCI Security Standards Council: Payment Card Industry Data Security Standard, Requirement 4. PCI DSS v4.0.1 (2024)</w:t>
      </w:r>
    </w:p>
    <w:sectPr>
      <w:pgSz w:w="11906" w:h="16838" w:orient="portrait"/>
      <w:pgMar w:top="1584" w:right="1987" w:bottom="1584" w:left="198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2026-08-13T11:41:09.125Z</dcterms:created>
  <dcterms:modified xsi:type="dcterms:W3CDTF">2026-08-13T11:41:09.126Z</dcterms:modified>
</cp:coreProperties>
</file>

<file path=docProps/custom.xml><?xml version="1.0" encoding="utf-8"?>
<Properties xmlns="http://schemas.openxmlformats.org/officeDocument/2006/custom-properties" xmlns:vt="http://schemas.openxmlformats.org/officeDocument/2006/docPropsVTypes"/>
</file>