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FC306" w14:textId="52D1B9AC" w:rsidR="005228F5" w:rsidRPr="00CA3AF8" w:rsidRDefault="00CA3AF8">
      <w:pPr>
        <w:rPr>
          <w:rFonts w:ascii="宋体" w:eastAsia="宋体" w:hAnsi="宋体"/>
          <w:sz w:val="24"/>
        </w:rPr>
      </w:pPr>
      <w:r w:rsidRPr="00CA3AF8">
        <w:rPr>
          <w:rFonts w:ascii="宋体" w:eastAsia="宋体" w:hAnsi="宋体" w:hint="eastAsia"/>
          <w:sz w:val="24"/>
        </w:rPr>
        <w:t>智能制造工艺大作业2第四题</w:t>
      </w:r>
    </w:p>
    <w:p w14:paraId="0D9BB3B7" w14:textId="77777777" w:rsidR="00CA3AF8" w:rsidRPr="00CA3AF8" w:rsidRDefault="00CA3AF8" w:rsidP="00CA3AF8">
      <w:pPr>
        <w:rPr>
          <w:rFonts w:ascii="宋体" w:eastAsia="宋体" w:hAnsi="宋体"/>
          <w:b/>
          <w:bCs/>
          <w:sz w:val="24"/>
        </w:rPr>
      </w:pPr>
      <w:r w:rsidRPr="00CA3AF8">
        <w:rPr>
          <w:rFonts w:ascii="宋体" w:eastAsia="宋体" w:hAnsi="宋体" w:hint="eastAsia"/>
          <w:b/>
          <w:bCs/>
          <w:sz w:val="24"/>
        </w:rPr>
        <w:t>4. 智能工艺过程监控方案设计（以AMTC设备为例）</w:t>
      </w:r>
    </w:p>
    <w:p w14:paraId="0681E3F4" w14:textId="77777777" w:rsidR="00CA3AF8" w:rsidRPr="00CA3AF8" w:rsidRDefault="00CA3AF8" w:rsidP="00CA3AF8">
      <w:pPr>
        <w:rPr>
          <w:rFonts w:ascii="宋体" w:eastAsia="宋体" w:hAnsi="宋体"/>
          <w:b/>
          <w:bCs/>
          <w:sz w:val="24"/>
        </w:rPr>
      </w:pPr>
      <w:r w:rsidRPr="00CA3AF8">
        <w:rPr>
          <w:rFonts w:ascii="宋体" w:eastAsia="宋体" w:hAnsi="宋体" w:hint="eastAsia"/>
          <w:b/>
          <w:bCs/>
          <w:sz w:val="24"/>
        </w:rPr>
        <w:t>4.1 针对的对象与核心问题</w:t>
      </w:r>
    </w:p>
    <w:p w14:paraId="4012C90E" w14:textId="77777777" w:rsidR="00CA3AF8" w:rsidRPr="00CA3AF8" w:rsidRDefault="00CA3AF8" w:rsidP="00CA3AF8">
      <w:pPr>
        <w:ind w:firstLineChars="200" w:firstLine="420"/>
        <w:rPr>
          <w:rFonts w:ascii="宋体" w:eastAsia="宋体" w:hAnsi="宋体" w:hint="eastAsia"/>
          <w:sz w:val="21"/>
          <w:szCs w:val="22"/>
        </w:rPr>
      </w:pPr>
      <w:r w:rsidRPr="00CA3AF8">
        <w:rPr>
          <w:rFonts w:ascii="宋体" w:eastAsia="宋体" w:hAnsi="宋体" w:hint="eastAsia"/>
          <w:sz w:val="21"/>
          <w:szCs w:val="22"/>
        </w:rPr>
        <w:t>本方案面向同济大学先进制造技术中心（AMTC）所配备的DMG MORI DMU</w:t>
      </w:r>
      <w:proofErr w:type="gramStart"/>
      <w:r w:rsidRPr="00CA3AF8">
        <w:rPr>
          <w:rFonts w:ascii="宋体" w:eastAsia="宋体" w:hAnsi="宋体" w:hint="eastAsia"/>
          <w:sz w:val="21"/>
          <w:szCs w:val="22"/>
        </w:rPr>
        <w:t>系列五轴加工</w:t>
      </w:r>
      <w:proofErr w:type="gramEnd"/>
      <w:r w:rsidRPr="00CA3AF8">
        <w:rPr>
          <w:rFonts w:ascii="宋体" w:eastAsia="宋体" w:hAnsi="宋体" w:hint="eastAsia"/>
          <w:sz w:val="21"/>
          <w:szCs w:val="22"/>
        </w:rPr>
        <w:t xml:space="preserve">中心（搭载Siemens 840D </w:t>
      </w:r>
      <w:proofErr w:type="spellStart"/>
      <w:r w:rsidRPr="00CA3AF8">
        <w:rPr>
          <w:rFonts w:ascii="宋体" w:eastAsia="宋体" w:hAnsi="宋体" w:hint="eastAsia"/>
          <w:sz w:val="21"/>
          <w:szCs w:val="22"/>
        </w:rPr>
        <w:t>sl</w:t>
      </w:r>
      <w:proofErr w:type="spellEnd"/>
      <w:r w:rsidRPr="00CA3AF8">
        <w:rPr>
          <w:rFonts w:ascii="宋体" w:eastAsia="宋体" w:hAnsi="宋体" w:hint="eastAsia"/>
          <w:sz w:val="21"/>
          <w:szCs w:val="22"/>
        </w:rPr>
        <w:t>数控系统），聚焦于航空发动机叶轮、复杂薄壁结构件等高价值零件在精密铣削过程中面临的三大典型工艺难题：一</w:t>
      </w:r>
      <w:proofErr w:type="gramStart"/>
      <w:r w:rsidRPr="00CA3AF8">
        <w:rPr>
          <w:rFonts w:ascii="宋体" w:eastAsia="宋体" w:hAnsi="宋体" w:hint="eastAsia"/>
          <w:sz w:val="21"/>
          <w:szCs w:val="22"/>
        </w:rPr>
        <w:t>是五轴联动</w:t>
      </w:r>
      <w:proofErr w:type="gramEnd"/>
      <w:r w:rsidRPr="00CA3AF8">
        <w:rPr>
          <w:rFonts w:ascii="宋体" w:eastAsia="宋体" w:hAnsi="宋体" w:hint="eastAsia"/>
          <w:sz w:val="21"/>
          <w:szCs w:val="22"/>
        </w:rPr>
        <w:t>加工中因刀具姿态频繁变化引发的高频切削颤振，易造成主轴损伤并在工件表面留下振纹；二是</w:t>
      </w:r>
      <w:proofErr w:type="gramStart"/>
      <w:r w:rsidRPr="00CA3AF8">
        <w:rPr>
          <w:rFonts w:ascii="宋体" w:eastAsia="宋体" w:hAnsi="宋体" w:hint="eastAsia"/>
          <w:sz w:val="21"/>
          <w:szCs w:val="22"/>
        </w:rPr>
        <w:t>难加工</w:t>
      </w:r>
      <w:proofErr w:type="gramEnd"/>
      <w:r w:rsidRPr="00CA3AF8">
        <w:rPr>
          <w:rFonts w:ascii="宋体" w:eastAsia="宋体" w:hAnsi="宋体" w:hint="eastAsia"/>
          <w:sz w:val="21"/>
          <w:szCs w:val="22"/>
        </w:rPr>
        <w:t>材料（如高温合金）导致刀具磨损高度非线性且难以预判，过早换刀增加成本，延迟换刀则可能引发崩</w:t>
      </w:r>
      <w:proofErr w:type="gramStart"/>
      <w:r w:rsidRPr="00CA3AF8">
        <w:rPr>
          <w:rFonts w:ascii="宋体" w:eastAsia="宋体" w:hAnsi="宋体" w:hint="eastAsia"/>
          <w:sz w:val="21"/>
          <w:szCs w:val="22"/>
        </w:rPr>
        <w:t>刃</w:t>
      </w:r>
      <w:proofErr w:type="gramEnd"/>
      <w:r w:rsidRPr="00CA3AF8">
        <w:rPr>
          <w:rFonts w:ascii="宋体" w:eastAsia="宋体" w:hAnsi="宋体" w:hint="eastAsia"/>
          <w:sz w:val="21"/>
          <w:szCs w:val="22"/>
        </w:rPr>
        <w:t>或尺寸超差；三是现有监测系统普遍缺乏闭环反馈能力，仅能被动记录数据而无法根据实时切削状态动态调整加工参数，难以实现真正的自适应控制。</w:t>
      </w:r>
    </w:p>
    <w:p w14:paraId="13EF2E8D" w14:textId="77777777" w:rsidR="00CA3AF8" w:rsidRPr="00CA3AF8" w:rsidRDefault="00CA3AF8" w:rsidP="00CA3AF8">
      <w:pPr>
        <w:rPr>
          <w:rFonts w:ascii="宋体" w:eastAsia="宋体" w:hAnsi="宋体"/>
          <w:b/>
          <w:bCs/>
          <w:sz w:val="24"/>
        </w:rPr>
      </w:pPr>
      <w:r w:rsidRPr="00CA3AF8">
        <w:rPr>
          <w:rFonts w:ascii="宋体" w:eastAsia="宋体" w:hAnsi="宋体" w:hint="eastAsia"/>
          <w:b/>
          <w:bCs/>
          <w:sz w:val="24"/>
        </w:rPr>
        <w:t>4.2 采用的技术方法</w:t>
      </w:r>
    </w:p>
    <w:p w14:paraId="59D98F0B" w14:textId="77777777" w:rsidR="00CA3AF8" w:rsidRPr="00CA3AF8" w:rsidRDefault="00CA3AF8" w:rsidP="00CA3AF8">
      <w:pPr>
        <w:ind w:firstLineChars="200" w:firstLine="420"/>
        <w:rPr>
          <w:rFonts w:ascii="宋体" w:eastAsia="宋体" w:hAnsi="宋体" w:hint="eastAsia"/>
          <w:sz w:val="21"/>
          <w:szCs w:val="22"/>
        </w:rPr>
      </w:pPr>
      <w:r w:rsidRPr="00CA3AF8">
        <w:rPr>
          <w:rFonts w:ascii="宋体" w:eastAsia="宋体" w:hAnsi="宋体" w:hint="eastAsia"/>
          <w:sz w:val="21"/>
          <w:szCs w:val="22"/>
        </w:rPr>
        <w:t>为系统性解决上述问题，本方案提出构建“感知—诊断—预测—补偿”四位一体的智能工艺监控体系，采用“边云协同”架构：在边缘</w:t>
      </w:r>
      <w:proofErr w:type="gramStart"/>
      <w:r w:rsidRPr="00CA3AF8">
        <w:rPr>
          <w:rFonts w:ascii="宋体" w:eastAsia="宋体" w:hAnsi="宋体" w:hint="eastAsia"/>
          <w:sz w:val="21"/>
          <w:szCs w:val="22"/>
        </w:rPr>
        <w:t>侧部署</w:t>
      </w:r>
      <w:proofErr w:type="gramEnd"/>
      <w:r w:rsidRPr="00CA3AF8">
        <w:rPr>
          <w:rFonts w:ascii="宋体" w:eastAsia="宋体" w:hAnsi="宋体" w:hint="eastAsia"/>
          <w:sz w:val="21"/>
          <w:szCs w:val="22"/>
        </w:rPr>
        <w:t>高实时性信号处理与轻量化AI推理模块，保障毫秒级响应能力；在云端构建数字孪生平台，支撑模型迭代训练与工艺知识沉淀。该方法融合多源异构传感数据（包括外置高频物理传感器与内置数控总线信息），通过特征工程提取关键状态指标，并利用深度学习模型实现对颤振与刀具磨损的高精度识别与趋势预测，最终驱动机床执行分级闭环干预策略，形成从状态感知到动作执行的完整控制回路。</w:t>
      </w:r>
    </w:p>
    <w:p w14:paraId="0A517F34" w14:textId="77777777" w:rsidR="00CA3AF8" w:rsidRPr="00CA3AF8" w:rsidRDefault="00CA3AF8" w:rsidP="00CA3AF8">
      <w:pPr>
        <w:rPr>
          <w:rFonts w:ascii="宋体" w:eastAsia="宋体" w:hAnsi="宋体" w:hint="eastAsia"/>
          <w:b/>
          <w:bCs/>
          <w:sz w:val="24"/>
        </w:rPr>
      </w:pPr>
      <w:r w:rsidRPr="00CA3AF8">
        <w:rPr>
          <w:rFonts w:ascii="宋体" w:eastAsia="宋体" w:hAnsi="宋体" w:hint="eastAsia"/>
          <w:b/>
          <w:bCs/>
          <w:sz w:val="24"/>
        </w:rPr>
        <w:t>4.3 具体方案设计说明</w:t>
      </w:r>
    </w:p>
    <w:p w14:paraId="73899813" w14:textId="77777777" w:rsidR="00CA3AF8" w:rsidRPr="00CA3AF8" w:rsidRDefault="00CA3AF8" w:rsidP="00CA3AF8">
      <w:pPr>
        <w:rPr>
          <w:rFonts w:ascii="宋体" w:eastAsia="宋体" w:hAnsi="宋体" w:hint="eastAsia"/>
          <w:sz w:val="21"/>
          <w:szCs w:val="22"/>
        </w:rPr>
      </w:pPr>
      <w:r w:rsidRPr="00CA3AF8">
        <w:rPr>
          <w:rFonts w:ascii="宋体" w:eastAsia="宋体" w:hAnsi="宋体" w:hint="eastAsia"/>
          <w:sz w:val="21"/>
          <w:szCs w:val="22"/>
        </w:rPr>
        <w:t>在数据采集层面，方案采用内外源融合机制：外源方面，在主轴端集成Kistler三轴加速度计（采样频率≥20 kHz）与声发射（AE）传感器，分别用于捕捉结构振动与刀具微裂纹产生的高频弹性波；内源方面，通过Siemens SINUMERIK Operate IT接口实时获取主轴功率、</w:t>
      </w:r>
      <w:proofErr w:type="gramStart"/>
      <w:r w:rsidRPr="00CA3AF8">
        <w:rPr>
          <w:rFonts w:ascii="宋体" w:eastAsia="宋体" w:hAnsi="宋体" w:hint="eastAsia"/>
          <w:sz w:val="21"/>
          <w:szCs w:val="22"/>
        </w:rPr>
        <w:t>各进给轴负载</w:t>
      </w:r>
      <w:proofErr w:type="gramEnd"/>
      <w:r w:rsidRPr="00CA3AF8">
        <w:rPr>
          <w:rFonts w:ascii="宋体" w:eastAsia="宋体" w:hAnsi="宋体" w:hint="eastAsia"/>
          <w:sz w:val="21"/>
          <w:szCs w:val="22"/>
        </w:rPr>
        <w:t>电流、</w:t>
      </w:r>
      <w:proofErr w:type="gramStart"/>
      <w:r w:rsidRPr="00CA3AF8">
        <w:rPr>
          <w:rFonts w:ascii="宋体" w:eastAsia="宋体" w:hAnsi="宋体" w:hint="eastAsia"/>
          <w:sz w:val="21"/>
          <w:szCs w:val="22"/>
        </w:rPr>
        <w:t>五轴坐标</w:t>
      </w:r>
      <w:proofErr w:type="gramEnd"/>
      <w:r w:rsidRPr="00CA3AF8">
        <w:rPr>
          <w:rFonts w:ascii="宋体" w:eastAsia="宋体" w:hAnsi="宋体" w:hint="eastAsia"/>
          <w:sz w:val="21"/>
          <w:szCs w:val="22"/>
        </w:rPr>
        <w:t>（X, Y, Z, A, C）及当前G代码行号等过程数据。在边缘计算层，原始信号经降噪滤波后，同步提取时域特征（如RMS、峰值、峭度）与频域特征（通过实时FFT分析主轴转</w:t>
      </w:r>
      <w:proofErr w:type="gramStart"/>
      <w:r w:rsidRPr="00CA3AF8">
        <w:rPr>
          <w:rFonts w:ascii="宋体" w:eastAsia="宋体" w:hAnsi="宋体" w:hint="eastAsia"/>
          <w:sz w:val="21"/>
          <w:szCs w:val="22"/>
        </w:rPr>
        <w:t>频及其</w:t>
      </w:r>
      <w:proofErr w:type="gramEnd"/>
      <w:r w:rsidRPr="00CA3AF8">
        <w:rPr>
          <w:rFonts w:ascii="宋体" w:eastAsia="宋体" w:hAnsi="宋体" w:hint="eastAsia"/>
          <w:sz w:val="21"/>
          <w:szCs w:val="22"/>
        </w:rPr>
        <w:t>倍频能量），并结合空间位置信息构建“位置-动力学”复合特征向量。同时，在云端基于AMTC提供的零件3D CAD模型构建数字孪生体，将实时预测的刀具磨损程度与表面质量以热力图形式可视化映射至虚拟工件上，实现加工状态的直观监控与追溯。</w:t>
      </w:r>
    </w:p>
    <w:p w14:paraId="009BF4DC" w14:textId="77777777" w:rsidR="00CA3AF8" w:rsidRPr="00CA3AF8" w:rsidRDefault="00CA3AF8" w:rsidP="00CA3AF8">
      <w:pPr>
        <w:rPr>
          <w:rFonts w:ascii="宋体" w:eastAsia="宋体" w:hAnsi="宋体" w:hint="eastAsia"/>
          <w:b/>
          <w:bCs/>
          <w:sz w:val="24"/>
        </w:rPr>
      </w:pPr>
      <w:r w:rsidRPr="00CA3AF8">
        <w:rPr>
          <w:rFonts w:ascii="宋体" w:eastAsia="宋体" w:hAnsi="宋体" w:hint="eastAsia"/>
          <w:b/>
          <w:bCs/>
          <w:sz w:val="24"/>
        </w:rPr>
        <w:t>4.4 AI算法模型设计</w:t>
      </w:r>
    </w:p>
    <w:p w14:paraId="7A0D5B62" w14:textId="77777777" w:rsidR="00CA3AF8" w:rsidRPr="00CA3AF8" w:rsidRDefault="00CA3AF8" w:rsidP="00CA3AF8">
      <w:pPr>
        <w:ind w:firstLineChars="200" w:firstLine="420"/>
        <w:rPr>
          <w:rFonts w:ascii="宋体" w:eastAsia="宋体" w:hAnsi="宋体" w:hint="eastAsia"/>
          <w:sz w:val="21"/>
          <w:szCs w:val="22"/>
        </w:rPr>
      </w:pPr>
      <w:r w:rsidRPr="00CA3AF8">
        <w:rPr>
          <w:rFonts w:ascii="宋体" w:eastAsia="宋体" w:hAnsi="宋体" w:hint="eastAsia"/>
          <w:sz w:val="21"/>
          <w:szCs w:val="22"/>
        </w:rPr>
        <w:t>核心算法采用</w:t>
      </w:r>
      <w:proofErr w:type="spellStart"/>
      <w:r w:rsidRPr="00CA3AF8">
        <w:rPr>
          <w:rFonts w:ascii="宋体" w:eastAsia="宋体" w:hAnsi="宋体" w:hint="eastAsia"/>
          <w:sz w:val="21"/>
          <w:szCs w:val="22"/>
        </w:rPr>
        <w:t>ResNet-BiLSTM</w:t>
      </w:r>
      <w:proofErr w:type="spellEnd"/>
      <w:r w:rsidRPr="00CA3AF8">
        <w:rPr>
          <w:rFonts w:ascii="宋体" w:eastAsia="宋体" w:hAnsi="宋体" w:hint="eastAsia"/>
          <w:sz w:val="21"/>
          <w:szCs w:val="22"/>
        </w:rPr>
        <w:t>混合神经网络架构，并引入注意力机制以提升关键工况的识别灵敏度。其中，</w:t>
      </w:r>
      <w:proofErr w:type="spellStart"/>
      <w:r w:rsidRPr="00CA3AF8">
        <w:rPr>
          <w:rFonts w:ascii="宋体" w:eastAsia="宋体" w:hAnsi="宋体" w:hint="eastAsia"/>
          <w:sz w:val="21"/>
          <w:szCs w:val="22"/>
        </w:rPr>
        <w:t>ResNet</w:t>
      </w:r>
      <w:proofErr w:type="spellEnd"/>
      <w:r w:rsidRPr="00CA3AF8">
        <w:rPr>
          <w:rFonts w:ascii="宋体" w:eastAsia="宋体" w:hAnsi="宋体" w:hint="eastAsia"/>
          <w:sz w:val="21"/>
          <w:szCs w:val="22"/>
        </w:rPr>
        <w:t>模块负责对多通道振动、声发射及电流信号进行深层空间特征提取，其残差连接结构有效缓解了梯度消失问题；</w:t>
      </w:r>
      <w:proofErr w:type="spellStart"/>
      <w:r w:rsidRPr="00CA3AF8">
        <w:rPr>
          <w:rFonts w:ascii="宋体" w:eastAsia="宋体" w:hAnsi="宋体" w:hint="eastAsia"/>
          <w:sz w:val="21"/>
          <w:szCs w:val="22"/>
        </w:rPr>
        <w:t>BiLSTM</w:t>
      </w:r>
      <w:proofErr w:type="spellEnd"/>
      <w:r w:rsidRPr="00CA3AF8">
        <w:rPr>
          <w:rFonts w:ascii="宋体" w:eastAsia="宋体" w:hAnsi="宋体" w:hint="eastAsia"/>
          <w:sz w:val="21"/>
          <w:szCs w:val="22"/>
        </w:rPr>
        <w:t>层则建模切削过程的时序依赖性，从前向与后向两个方向捕捉磨损演化与颤振发展的动态规律；注意力机制自动为切入/切出、曲率突变、</w:t>
      </w:r>
      <w:proofErr w:type="gramStart"/>
      <w:r w:rsidRPr="00CA3AF8">
        <w:rPr>
          <w:rFonts w:ascii="宋体" w:eastAsia="宋体" w:hAnsi="宋体" w:hint="eastAsia"/>
          <w:sz w:val="21"/>
          <w:szCs w:val="22"/>
        </w:rPr>
        <w:t>五轴联动</w:t>
      </w:r>
      <w:proofErr w:type="gramEnd"/>
      <w:r w:rsidRPr="00CA3AF8">
        <w:rPr>
          <w:rFonts w:ascii="宋体" w:eastAsia="宋体" w:hAnsi="宋体" w:hint="eastAsia"/>
          <w:sz w:val="21"/>
          <w:szCs w:val="22"/>
        </w:rPr>
        <w:t>转角等高风险加工阶段分配更高权重，增强模型对异常事件的</w:t>
      </w:r>
      <w:r w:rsidRPr="00CA3AF8">
        <w:rPr>
          <w:rFonts w:ascii="宋体" w:eastAsia="宋体" w:hAnsi="宋体" w:hint="eastAsia"/>
          <w:sz w:val="21"/>
          <w:szCs w:val="22"/>
        </w:rPr>
        <w:lastRenderedPageBreak/>
        <w:t>敏感性。模型训练以最小化交叉</w:t>
      </w:r>
      <w:proofErr w:type="gramStart"/>
      <w:r w:rsidRPr="00CA3AF8">
        <w:rPr>
          <w:rFonts w:ascii="宋体" w:eastAsia="宋体" w:hAnsi="宋体" w:hint="eastAsia"/>
          <w:sz w:val="21"/>
          <w:szCs w:val="22"/>
        </w:rPr>
        <w:t>熵</w:t>
      </w:r>
      <w:proofErr w:type="gramEnd"/>
      <w:r w:rsidRPr="00CA3AF8">
        <w:rPr>
          <w:rFonts w:ascii="宋体" w:eastAsia="宋体" w:hAnsi="宋体" w:hint="eastAsia"/>
          <w:sz w:val="21"/>
          <w:szCs w:val="22"/>
        </w:rPr>
        <w:t>损失为目标函数，辅以L2正则</w:t>
      </w:r>
      <w:proofErr w:type="gramStart"/>
      <w:r w:rsidRPr="00CA3AF8">
        <w:rPr>
          <w:rFonts w:ascii="宋体" w:eastAsia="宋体" w:hAnsi="宋体" w:hint="eastAsia"/>
          <w:sz w:val="21"/>
          <w:szCs w:val="22"/>
        </w:rPr>
        <w:t>化防止</w:t>
      </w:r>
      <w:proofErr w:type="gramEnd"/>
      <w:r w:rsidRPr="00CA3AF8">
        <w:rPr>
          <w:rFonts w:ascii="宋体" w:eastAsia="宋体" w:hAnsi="宋体" w:hint="eastAsia"/>
          <w:sz w:val="21"/>
          <w:szCs w:val="22"/>
        </w:rPr>
        <w:t>过拟合，最终实现对“正常”“颤振”“磨损”“崩刃”等状态的精准分类，目标磨损监测准确率&gt;95%，颤振检测响应时间&lt;50ms。</w:t>
      </w:r>
    </w:p>
    <w:p w14:paraId="6D77B908" w14:textId="77777777" w:rsidR="00CA3AF8" w:rsidRPr="00CA3AF8" w:rsidRDefault="00CA3AF8" w:rsidP="00CA3AF8">
      <w:pPr>
        <w:rPr>
          <w:rFonts w:ascii="宋体" w:eastAsia="宋体" w:hAnsi="宋体" w:hint="eastAsia"/>
          <w:b/>
          <w:bCs/>
          <w:sz w:val="24"/>
        </w:rPr>
      </w:pPr>
      <w:r w:rsidRPr="00CA3AF8">
        <w:rPr>
          <w:rFonts w:ascii="宋体" w:eastAsia="宋体" w:hAnsi="宋体" w:hint="eastAsia"/>
          <w:b/>
          <w:bCs/>
          <w:sz w:val="24"/>
        </w:rPr>
        <w:t>4.5 预期成果与效益</w:t>
      </w:r>
    </w:p>
    <w:p w14:paraId="25026C02" w14:textId="77777777" w:rsidR="00CA3AF8" w:rsidRPr="00CA3AF8" w:rsidRDefault="00CA3AF8" w:rsidP="00CA3AF8">
      <w:pPr>
        <w:ind w:firstLineChars="200" w:firstLine="420"/>
        <w:rPr>
          <w:rFonts w:ascii="宋体" w:eastAsia="宋体" w:hAnsi="宋体" w:hint="eastAsia"/>
          <w:sz w:val="21"/>
          <w:szCs w:val="22"/>
        </w:rPr>
      </w:pPr>
      <w:r w:rsidRPr="00CA3AF8">
        <w:rPr>
          <w:rFonts w:ascii="宋体" w:eastAsia="宋体" w:hAnsi="宋体" w:hint="eastAsia"/>
          <w:sz w:val="21"/>
          <w:szCs w:val="22"/>
        </w:rPr>
        <w:t>本方案实施后，预期在经济性、质量稳定性与科研价值三方面取得显著成效：在经济效益方面，通过自适应调整进给倍率与主轴转速，可提升综合加工效率约15%，同时因精准预测刀具寿命，刀具消耗成本降低20%；在质量保障方面，系统可彻底避免因未被及时抑制的颤振导致的批量返修，并实现关键尺寸超差的提前预警，预警准确率达98%；在科研层面，方案将持续积累涵盖多工况、多材料、多刀具的高维工业大数据，为AMTC开展切削机理研究、工艺知识图谱构建及下一代智能数控系统开发提供坚实的数据基础与验证平台。</w:t>
      </w:r>
    </w:p>
    <w:p w14:paraId="1A9E9A9B" w14:textId="77777777" w:rsidR="00CA3AF8" w:rsidRPr="00CA3AF8" w:rsidRDefault="00CA3AF8">
      <w:pPr>
        <w:rPr>
          <w:rFonts w:hint="eastAsia"/>
        </w:rPr>
      </w:pPr>
    </w:p>
    <w:sectPr w:rsidR="00CA3AF8" w:rsidRPr="00CA3AF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AF8"/>
    <w:rsid w:val="002C2854"/>
    <w:rsid w:val="005228F5"/>
    <w:rsid w:val="00525DFB"/>
    <w:rsid w:val="00CA3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4F16D"/>
  <w15:chartTrackingRefBased/>
  <w15:docId w15:val="{A58FBC81-FC1E-43B1-8351-9EE6A63662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A3AF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A3AF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A3AF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A3AF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A3AF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A3AF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A3AF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3AF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A3AF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二级标题"/>
    <w:basedOn w:val="a"/>
    <w:link w:val="a4"/>
    <w:qFormat/>
    <w:rsid w:val="005228F5"/>
    <w:pPr>
      <w:spacing w:after="0" w:line="360" w:lineRule="auto"/>
    </w:pPr>
    <w:rPr>
      <w:rFonts w:ascii="宋体" w:eastAsia="宋体" w:hAnsi="宋体" w:cs="Times New Roman"/>
      <w:b/>
      <w:bCs/>
      <w:sz w:val="28"/>
      <w:szCs w:val="21"/>
    </w:rPr>
  </w:style>
  <w:style w:type="character" w:customStyle="1" w:styleId="a4">
    <w:name w:val="二级标题 字符"/>
    <w:basedOn w:val="a0"/>
    <w:link w:val="a3"/>
    <w:rsid w:val="005228F5"/>
    <w:rPr>
      <w:rFonts w:ascii="宋体" w:eastAsia="宋体" w:hAnsi="宋体" w:cs="Times New Roman"/>
      <w:b/>
      <w:bCs/>
      <w:sz w:val="28"/>
      <w:szCs w:val="21"/>
    </w:rPr>
  </w:style>
  <w:style w:type="paragraph" w:customStyle="1" w:styleId="a5">
    <w:name w:val="三级标题"/>
    <w:basedOn w:val="a"/>
    <w:link w:val="a6"/>
    <w:qFormat/>
    <w:rsid w:val="005228F5"/>
    <w:pPr>
      <w:spacing w:after="0" w:line="360" w:lineRule="auto"/>
      <w:ind w:leftChars="200" w:left="200"/>
    </w:pPr>
    <w:rPr>
      <w:rFonts w:ascii="宋体" w:eastAsia="宋体" w:hAnsi="宋体" w:cs="Times New Roman"/>
      <w:b/>
      <w:bCs/>
      <w:sz w:val="28"/>
      <w:szCs w:val="21"/>
    </w:rPr>
  </w:style>
  <w:style w:type="character" w:customStyle="1" w:styleId="a6">
    <w:name w:val="三级标题 字符"/>
    <w:basedOn w:val="a0"/>
    <w:link w:val="a5"/>
    <w:rsid w:val="005228F5"/>
    <w:rPr>
      <w:rFonts w:ascii="宋体" w:eastAsia="宋体" w:hAnsi="宋体" w:cs="Times New Roman"/>
      <w:b/>
      <w:bCs/>
      <w:sz w:val="28"/>
      <w:szCs w:val="21"/>
    </w:rPr>
  </w:style>
  <w:style w:type="paragraph" w:customStyle="1" w:styleId="a7">
    <w:name w:val="一级标题"/>
    <w:basedOn w:val="a"/>
    <w:link w:val="a8"/>
    <w:qFormat/>
    <w:rsid w:val="005228F5"/>
    <w:pPr>
      <w:spacing w:after="0" w:line="360" w:lineRule="auto"/>
      <w:jc w:val="center"/>
    </w:pPr>
    <w:rPr>
      <w:rFonts w:ascii="宋体" w:eastAsia="宋体" w:hAnsi="宋体" w:cs="Times New Roman"/>
      <w:b/>
      <w:bCs/>
      <w:sz w:val="28"/>
      <w:szCs w:val="21"/>
    </w:rPr>
  </w:style>
  <w:style w:type="character" w:customStyle="1" w:styleId="a8">
    <w:name w:val="一级标题 字符"/>
    <w:basedOn w:val="a0"/>
    <w:link w:val="a7"/>
    <w:rsid w:val="005228F5"/>
    <w:rPr>
      <w:rFonts w:ascii="宋体" w:eastAsia="宋体" w:hAnsi="宋体" w:cs="Times New Roman"/>
      <w:b/>
      <w:bCs/>
      <w:sz w:val="28"/>
      <w:szCs w:val="21"/>
    </w:rPr>
  </w:style>
  <w:style w:type="character" w:customStyle="1" w:styleId="10">
    <w:name w:val="标题 1 字符"/>
    <w:basedOn w:val="a0"/>
    <w:link w:val="1"/>
    <w:uiPriority w:val="9"/>
    <w:rsid w:val="00CA3AF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A3AF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A3AF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A3AF8"/>
    <w:rPr>
      <w:rFonts w:cstheme="majorBidi"/>
      <w:color w:val="2F5496" w:themeColor="accent1" w:themeShade="BF"/>
      <w:sz w:val="28"/>
      <w:szCs w:val="28"/>
    </w:rPr>
  </w:style>
  <w:style w:type="character" w:customStyle="1" w:styleId="50">
    <w:name w:val="标题 5 字符"/>
    <w:basedOn w:val="a0"/>
    <w:link w:val="5"/>
    <w:uiPriority w:val="9"/>
    <w:semiHidden/>
    <w:rsid w:val="00CA3AF8"/>
    <w:rPr>
      <w:rFonts w:cstheme="majorBidi"/>
      <w:color w:val="2F5496" w:themeColor="accent1" w:themeShade="BF"/>
      <w:sz w:val="24"/>
    </w:rPr>
  </w:style>
  <w:style w:type="character" w:customStyle="1" w:styleId="60">
    <w:name w:val="标题 6 字符"/>
    <w:basedOn w:val="a0"/>
    <w:link w:val="6"/>
    <w:uiPriority w:val="9"/>
    <w:semiHidden/>
    <w:rsid w:val="00CA3AF8"/>
    <w:rPr>
      <w:rFonts w:cstheme="majorBidi"/>
      <w:b/>
      <w:bCs/>
      <w:color w:val="2F5496" w:themeColor="accent1" w:themeShade="BF"/>
    </w:rPr>
  </w:style>
  <w:style w:type="character" w:customStyle="1" w:styleId="70">
    <w:name w:val="标题 7 字符"/>
    <w:basedOn w:val="a0"/>
    <w:link w:val="7"/>
    <w:uiPriority w:val="9"/>
    <w:semiHidden/>
    <w:rsid w:val="00CA3AF8"/>
    <w:rPr>
      <w:rFonts w:cstheme="majorBidi"/>
      <w:b/>
      <w:bCs/>
      <w:color w:val="595959" w:themeColor="text1" w:themeTint="A6"/>
    </w:rPr>
  </w:style>
  <w:style w:type="character" w:customStyle="1" w:styleId="80">
    <w:name w:val="标题 8 字符"/>
    <w:basedOn w:val="a0"/>
    <w:link w:val="8"/>
    <w:uiPriority w:val="9"/>
    <w:semiHidden/>
    <w:rsid w:val="00CA3AF8"/>
    <w:rPr>
      <w:rFonts w:cstheme="majorBidi"/>
      <w:color w:val="595959" w:themeColor="text1" w:themeTint="A6"/>
    </w:rPr>
  </w:style>
  <w:style w:type="character" w:customStyle="1" w:styleId="90">
    <w:name w:val="标题 9 字符"/>
    <w:basedOn w:val="a0"/>
    <w:link w:val="9"/>
    <w:uiPriority w:val="9"/>
    <w:semiHidden/>
    <w:rsid w:val="00CA3AF8"/>
    <w:rPr>
      <w:rFonts w:eastAsiaTheme="majorEastAsia" w:cstheme="majorBidi"/>
      <w:color w:val="595959" w:themeColor="text1" w:themeTint="A6"/>
    </w:rPr>
  </w:style>
  <w:style w:type="paragraph" w:styleId="a9">
    <w:name w:val="Title"/>
    <w:basedOn w:val="a"/>
    <w:next w:val="a"/>
    <w:link w:val="aa"/>
    <w:uiPriority w:val="10"/>
    <w:qFormat/>
    <w:rsid w:val="00CA3A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a">
    <w:name w:val="标题 字符"/>
    <w:basedOn w:val="a0"/>
    <w:link w:val="a9"/>
    <w:uiPriority w:val="10"/>
    <w:rsid w:val="00CA3AF8"/>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CA3A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c">
    <w:name w:val="副标题 字符"/>
    <w:basedOn w:val="a0"/>
    <w:link w:val="ab"/>
    <w:uiPriority w:val="11"/>
    <w:rsid w:val="00CA3AF8"/>
    <w:rPr>
      <w:rFonts w:asciiTheme="majorHAnsi" w:eastAsiaTheme="majorEastAsia" w:hAnsiTheme="majorHAnsi" w:cstheme="majorBidi"/>
      <w:color w:val="595959" w:themeColor="text1" w:themeTint="A6"/>
      <w:spacing w:val="15"/>
      <w:sz w:val="28"/>
      <w:szCs w:val="28"/>
    </w:rPr>
  </w:style>
  <w:style w:type="paragraph" w:styleId="ad">
    <w:name w:val="Quote"/>
    <w:basedOn w:val="a"/>
    <w:next w:val="a"/>
    <w:link w:val="ae"/>
    <w:uiPriority w:val="29"/>
    <w:qFormat/>
    <w:rsid w:val="00CA3AF8"/>
    <w:pPr>
      <w:spacing w:before="160"/>
      <w:jc w:val="center"/>
    </w:pPr>
    <w:rPr>
      <w:i/>
      <w:iCs/>
      <w:color w:val="404040" w:themeColor="text1" w:themeTint="BF"/>
    </w:rPr>
  </w:style>
  <w:style w:type="character" w:customStyle="1" w:styleId="ae">
    <w:name w:val="引用 字符"/>
    <w:basedOn w:val="a0"/>
    <w:link w:val="ad"/>
    <w:uiPriority w:val="29"/>
    <w:rsid w:val="00CA3AF8"/>
    <w:rPr>
      <w:i/>
      <w:iCs/>
      <w:color w:val="404040" w:themeColor="text1" w:themeTint="BF"/>
    </w:rPr>
  </w:style>
  <w:style w:type="paragraph" w:styleId="af">
    <w:name w:val="List Paragraph"/>
    <w:basedOn w:val="a"/>
    <w:uiPriority w:val="34"/>
    <w:qFormat/>
    <w:rsid w:val="00CA3AF8"/>
    <w:pPr>
      <w:ind w:left="720"/>
      <w:contextualSpacing/>
    </w:pPr>
  </w:style>
  <w:style w:type="character" w:styleId="af0">
    <w:name w:val="Intense Emphasis"/>
    <w:basedOn w:val="a0"/>
    <w:uiPriority w:val="21"/>
    <w:qFormat/>
    <w:rsid w:val="00CA3AF8"/>
    <w:rPr>
      <w:i/>
      <w:iCs/>
      <w:color w:val="2F5496" w:themeColor="accent1" w:themeShade="BF"/>
    </w:rPr>
  </w:style>
  <w:style w:type="paragraph" w:styleId="af1">
    <w:name w:val="Intense Quote"/>
    <w:basedOn w:val="a"/>
    <w:next w:val="a"/>
    <w:link w:val="af2"/>
    <w:uiPriority w:val="30"/>
    <w:qFormat/>
    <w:rsid w:val="00CA3A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2">
    <w:name w:val="明显引用 字符"/>
    <w:basedOn w:val="a0"/>
    <w:link w:val="af1"/>
    <w:uiPriority w:val="30"/>
    <w:rsid w:val="00CA3AF8"/>
    <w:rPr>
      <w:i/>
      <w:iCs/>
      <w:color w:val="2F5496" w:themeColor="accent1" w:themeShade="BF"/>
    </w:rPr>
  </w:style>
  <w:style w:type="character" w:styleId="af3">
    <w:name w:val="Intense Reference"/>
    <w:basedOn w:val="a0"/>
    <w:uiPriority w:val="32"/>
    <w:qFormat/>
    <w:rsid w:val="00CA3AF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701</Words>
  <Characters>822</Characters>
  <Application>Microsoft Office Word</Application>
  <DocSecurity>0</DocSecurity>
  <Lines>41</Lines>
  <Paragraphs>49</Paragraphs>
  <ScaleCrop>false</ScaleCrop>
  <Company/>
  <LinksUpToDate>false</LinksUpToDate>
  <CharactersWithSpaces>1474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睿阳 吴</dc:creator>
  <cp:keywords/>
  <dc:description/>
  <cp:lastModifiedBy>睿阳 吴</cp:lastModifiedBy>
  <cp:revision>1</cp:revision>
  <dcterms:created xsi:type="dcterms:W3CDTF">2026-01-11T13:24:00Z</dcterms:created>
  <dcterms:modified xsi:type="dcterms:W3CDTF">2026-01-11T13:29:00Z</dcterms:modified>
</cp:coreProperties>
</file>