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补充研究思考评分指标因果解释算力与多方市场"/>
    <w:p>
      <w:pPr>
        <w:pStyle w:val="Heading1"/>
      </w:pPr>
      <w:r>
        <w:t xml:space="preserve">补充研究思考：评分指标、因果解释、算力与多方市场</w:t>
      </w:r>
    </w:p>
    <w:p>
      <w:pPr>
        <w:pStyle w:val="BlockText"/>
      </w:pPr>
      <w:r>
        <w:t xml:space="preserve">本文是主报告（</w:t>
      </w:r>
      <w:r>
        <w:rPr>
          <w:rStyle w:val="VerbatimChar"/>
        </w:rPr>
        <w:t xml:space="preserve">docs/05_实验报告.md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docs/05_report_en.md</w:t>
      </w:r>
      <w:r>
        <w:t xml:space="preserve">）的补充，整理了实验完成后的几点思考，不改变主报告的任何结论。英文版见</w:t>
      </w:r>
      <w:r>
        <w:t xml:space="preserve"> </w:t>
      </w:r>
      <w:r>
        <w:rPr>
          <w:rStyle w:val="VerbatimChar"/>
        </w:rPr>
        <w:t xml:space="preserve">docs/06_supplementary_notes_en.md</w:t>
      </w:r>
      <w:r>
        <w:t xml:space="preserve">。</w:t>
      </w:r>
    </w:p>
    <w:p>
      <w:pPr>
        <w:pStyle w:val="BlockText"/>
      </w:pPr>
      <w:r>
        <w:t xml:space="preserve">每一节分三部分：</w:t>
      </w:r>
      <w:r>
        <w:rPr>
          <w:bCs/>
          <w:b/>
        </w:rPr>
        <w:t xml:space="preserve">论文是否涉及</w:t>
      </w:r>
      <w:r>
        <w:t xml:space="preserve">（附论文原文与代码位置）、</w:t>
      </w:r>
      <w:r>
        <w:rPr>
          <w:bCs/>
          <w:b/>
        </w:rPr>
        <w:t xml:space="preserve">我们的分析</w:t>
      </w:r>
      <w:r>
        <w:t xml:space="preserve">、</w:t>
      </w:r>
      <w:r>
        <w:rPr>
          <w:bCs/>
          <w:b/>
        </w:rPr>
        <w:t xml:space="preserve">可以做的扩展</w:t>
      </w:r>
      <w:r>
        <w:t xml:space="preserve">。论文指 arXiv 2602.06008v1；代码指论文版提交</w:t>
      </w:r>
      <w:r>
        <w:t xml:space="preserve"> </w:t>
      </w:r>
      <w:r>
        <w:rPr>
          <w:rStyle w:val="VerbatimChar"/>
        </w:rPr>
        <w:t xml:space="preserve">1a347cf</w:t>
      </w:r>
      <w:r>
        <w:t xml:space="preserve">（本仓库</w:t>
      </w:r>
      <w:r>
        <w:t xml:space="preserve"> </w:t>
      </w:r>
      <w:r>
        <w:rPr>
          <w:rStyle w:val="VerbatimChar"/>
        </w:rPr>
        <w:t xml:space="preserve">third_party/AgenticPay/</w:t>
      </w:r>
      <w:r>
        <w:t xml:space="preserve">）。</w:t>
      </w:r>
    </w:p>
    <w:bookmarkStart w:id="20" w:name="X3875cc03eb6c3777bd80b6e6921e98f2263a1b8"/>
    <w:p>
      <w:pPr>
        <w:pStyle w:val="Heading2"/>
      </w:pPr>
      <w:r>
        <w:t xml:space="preserve">0. 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论文是否涉及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本文的主要观点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1v1 的"最优解是中间价"吗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只说明 GlobalScore 在平分剩余时最高，没有给出理论依据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中间价最优是指标的设计选择。它恰好等于对称纳什议价解，但换一个博弈模型或协议细节，理论预测就会变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多方市场的剩余怎么算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多方任务沿用 1v1 公式，且只给成交的那一对打分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论文版代码在第一笔成交后就结束整局，指标不计市场总剩余和配置效率，可能把有效率的竞争结果判为低分，把低效率的匹配判为满分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A1 比 A0 好，能说是 prompt 带来的吗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没有讨论。论文每个任务只跑 1 次，没有重复实验和显著性检验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在我们的受控设定里，可以说"这次 prompt 改动导致了差异"，但不能推广到"某条策略有效"或"对其他模型、对手也有效"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CPU 不能替代 GPU；可扩展性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论文用 4 张 A800 GPU，强调框架可扩展，没有讨论算力受限的情况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次正式运行在 CPU 上共约 36 小时，算力限制了样本量、模型大小和生成长度。代码已支持 GPU 后端，扩展到多方任务还需补几个模块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多买多卖应升级为博弈论分析框架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相关工作引用了经典博弈论，但分析中没有使用；多方结果的解释（"市场流动性"）没有验证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建议用竞争均衡价格、拍卖理论、配置效率和稳定匹配作为基准，并设计能检验"流动性"解释的实验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611eda3ca0685ba116af068bcc985ef7d192cd8"/>
    <w:p>
      <w:pPr>
        <w:pStyle w:val="Heading2"/>
      </w:pPr>
      <w:r>
        <w:t xml:space="preserve">1. 1v1 的"最优解"：中间价是设计选择，不是理论结论</w:t>
      </w:r>
    </w:p>
    <w:bookmarkStart w:id="21" w:name="X7fc67c986b567a6d05ad182770e940a87db61f8"/>
    <w:p>
      <w:pPr>
        <w:pStyle w:val="Heading3"/>
      </w:pPr>
      <w:r>
        <w:t xml:space="preserve">1.1 论文是否涉及</w:t>
      </w:r>
    </w:p>
    <w:p>
      <w:pPr>
        <w:pStyle w:val="FirstParagraph"/>
      </w:pPr>
      <w:r>
        <w:t xml:space="preserve">论文 §4.4 Score Design 说明了 GlobalScore 的设计：</w:t>
      </w:r>
    </w:p>
    <w:p>
      <w:pPr>
        <w:pStyle w:val="BlockText"/>
      </w:pPr>
      <w:r>
        <w:t xml:space="preserve">"GlobalScore uses a symmetric quality term Q = 4·rb·rs that peaks when surplus is split equally, while BuyerScore and SellerScore reward each party's individual surplus."</w:t>
      </w:r>
    </w:p>
    <w:p>
      <w:pPr>
        <w:pStyle w:val="FirstParagraph"/>
      </w:pPr>
      <w:r>
        <w:t xml:space="preserve">论文只说明 Q 在平分剩余时最大，没有解释为什么平分是好的结果，也没有和博弈论的议价解联系起来。正文没有出现 Nash bargaining solution 或 Rubinstein 模型的推导，这些文献只在相关工作中被引用（§2）。</w:t>
      </w:r>
    </w:p>
    <w:bookmarkEnd w:id="21"/>
    <w:bookmarkStart w:id="22" w:name="Xc96def96ae6aa47311776104064094b6f623093"/>
    <w:p>
      <w:pPr>
        <w:pStyle w:val="Heading3"/>
      </w:pPr>
      <w:r>
        <w:t xml:space="preserve">1.2 我们的分析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 就是归一化的纳什乘积。</w:t>
      </w:r>
      <w:r>
        <w:t xml:space="preserve"> </w:t>
      </w:r>
      <w:r>
        <w:t xml:space="preserve">纳什议价解最大化双方收益的乘积 (u_b − d_b)(u_s − d_s)。以各自的保留价为谈判破裂点、收益与价格成线性时，乘积等于 rb·rs，Q = 4·rb·rs 只是把它缩放到 [0, 1]。所以"中间价最优"等价于"以对称纳什议价解为公平标准"。这是一个价值判断，论文没有点明。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换模型或协议细节，理论预测会变。</w:t>
      </w:r>
    </w:p>
    <w:p>
      <w:pPr>
        <w:numPr>
          <w:ilvl w:val="1"/>
          <w:numId w:val="1002"/>
        </w:numPr>
        <w:pStyle w:val="Compact"/>
      </w:pPr>
      <w:r>
        <w:t xml:space="preserve">Rubinstein 无限期交替出价模型（完全信息）：先出价的一方得到 1/(1+δ) 的剩余。本实验每轮买方先说，若取 δ = 0.99（与论文的折扣因子相同），买方份额约 0.5025，对应价格约 274.6，非常接近中间价 275。也就是说，双方都很有耐心时，Rubinstein 结果与中间价基本一致。</w:t>
      </w:r>
    </w:p>
    <w:p>
      <w:pPr>
        <w:numPr>
          <w:ilvl w:val="1"/>
          <w:numId w:val="1002"/>
        </w:numPr>
        <w:pStyle w:val="Compact"/>
      </w:pPr>
      <w:r>
        <w:t xml:space="preserve">双方耐心不同（δ 不同）时，更有耐心的一方拿得更多，结果就偏离中间价。</w:t>
      </w:r>
    </w:p>
    <w:p>
      <w:pPr>
        <w:numPr>
          <w:ilvl w:val="1"/>
          <w:numId w:val="1002"/>
        </w:numPr>
        <w:pStyle w:val="Compact"/>
      </w:pPr>
      <w:r>
        <w:t xml:space="preserve">AgenticPay 有 20 轮的硬截止。在完全信息、完全理性的简化假设下，最后一轮由买方先报价，卖方只能跟价或让谈判失败，按倒推法买方可以把价格压到卖方底价附近。真实的 LLM 并不会这样做，但这说明理论预测对"谁最后出价"这类协议细节很敏感。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信息不完全时，100% 成交率本来就不是自然基准。</w:t>
      </w:r>
      <w:r>
        <w:t xml:space="preserve"> </w:t>
      </w:r>
      <w:r>
        <w:t xml:space="preserve">Myerson–Satterthwaite 定理表明：双方都有私人保留价、且双方保留价的可能范围有重叠时，不存在一个既满足激励相容、个人理性、预算平衡，又总能在有成交空间时成交的机制。Chatterjee–Samuelson 的双边报价模型中，均衡下只有在买方估值足够高于卖方成本时才成交。所以从理论上讲，即使双方都完全理性，也会有一部分本可以成交的谈判失败。</w:t>
      </w:r>
    </w:p>
    <w:p>
      <w:pPr>
        <w:numPr>
          <w:ilvl w:val="1"/>
          <w:numId w:val="1003"/>
        </w:numPr>
        <w:pStyle w:val="Compact"/>
      </w:pPr>
      <w:r>
        <w:t xml:space="preserve">需要说明：我们实验里的超时</w:t>
      </w:r>
      <w:r>
        <w:rPr>
          <w:bCs/>
          <w:b/>
        </w:rPr>
        <w:t xml:space="preserve">不是</w:t>
      </w:r>
      <w:r>
        <w:t xml:space="preserve">这种理论上的失败。所有超时的最终价差都只有 2.5–5，双方已经基本暴露了自己的底线，失败来自逐字重复自己上一条消息这类执行问题（主报告 3.4 节）。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对买方来说，最优不是中间价。</w:t>
      </w:r>
      <w:r>
        <w:t xml:space="preserve"> </w:t>
      </w:r>
      <w:r>
        <w:t xml:space="preserve">BuyerScore 在价格等于卖方底价时最高。本任务要求"降低最终价格"，所以我们的目标是 BuyerScore，而不是 GlobalScore。我们的成交价都在 275 以上（A1-nod 平均 286.3），在这个区间里压价同时提高 BuyerScore 和 GlobalScore，两个目标暂时没有冲突。主报告 3.1 节已有说明。</w:t>
      </w:r>
    </w:p>
    <w:bookmarkEnd w:id="22"/>
    <w:bookmarkStart w:id="23" w:name="Xb221a48d4fd97e8dcead8b86254d690d3da8409"/>
    <w:p>
      <w:pPr>
        <w:pStyle w:val="Heading3"/>
      </w:pPr>
      <w:r>
        <w:t xml:space="preserve">1.3 可以做的扩展</w:t>
      </w:r>
    </w:p>
    <w:p>
      <w:pPr>
        <w:numPr>
          <w:ilvl w:val="0"/>
          <w:numId w:val="1004"/>
        </w:numPr>
        <w:pStyle w:val="Compact"/>
      </w:pPr>
      <w:r>
        <w:t xml:space="preserve">在报告中同时给出几种理论基准（对称纳什解、不同 δ 下的 Rubinstein 解），而不是只用中间价评判"公平"。</w:t>
      </w:r>
    </w:p>
    <w:p>
      <w:pPr>
        <w:numPr>
          <w:ilvl w:val="0"/>
          <w:numId w:val="1004"/>
        </w:numPr>
        <w:pStyle w:val="Compact"/>
      </w:pPr>
      <w:r>
        <w:t xml:space="preserve">设计一组让双方"耐心"不同的实验（例如在 prompt 中告诉一方有时间压力），看 LLM 的成交价是否按理论预测的方向移动。论文 Table 5 的 "Busy Professional" 人格已经部分涉及这一点，但没有和理论对比。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8e10f72702fefe9233236efbf1b3e30de359c49"/>
    <w:p>
      <w:pPr>
        <w:pStyle w:val="Heading2"/>
      </w:pPr>
      <w:r>
        <w:t xml:space="preserve">2. 多方市场的剩余：论文沿用 1v1 公式，只计一对</w:t>
      </w:r>
    </w:p>
    <w:bookmarkStart w:id="25" w:name="X41d74399ec42fc2e070a3e0e8daafae1241a508"/>
    <w:p>
      <w:pPr>
        <w:pStyle w:val="Heading3"/>
      </w:pPr>
      <w:r>
        <w:t xml:space="preserve">2.1 论文是否涉及</w:t>
      </w:r>
    </w:p>
    <w:p>
      <w:pPr>
        <w:pStyle w:val="FirstParagraph"/>
      </w:pPr>
      <w:r>
        <w:t xml:space="preserve">论文 §3 写道 "Negotiation outcomes are evaluated based on deal feasibility, efficiency, and welfare"，但 Algorithm 1 只有一个 1v1 公式（成交价 p、买方上限 pmax、卖方底价 pmin）。论文没有说明多方任务的分数怎么算。</w:t>
      </w:r>
    </w:p>
    <w:p>
      <w:pPr>
        <w:pStyle w:val="BodyText"/>
      </w:pPr>
      <w:r>
        <w:t xml:space="preserve">代码中是这样实现的（以</w:t>
      </w:r>
      <w:r>
        <w:t xml:space="preserve"> </w:t>
      </w:r>
      <w:r>
        <w:rPr>
          <w:rStyle w:val="VerbatimChar"/>
        </w:rPr>
        <w:t xml:space="preserve">envs/multi_buyer_multi_seller/Task1_parallel_two_buyer_two_seller_negotiation.py</w:t>
      </w:r>
      <w:r>
        <w:t xml:space="preserve"> </w:t>
      </w:r>
      <w:r>
        <w:t xml:space="preserve">为例，其他多方任务相同）：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代码位置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做了什么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L380–401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同一轮里如果有多对达成一致，选 (买方上限 − 价格) + (价格 − 卖方底价) 最大的那一对，记为</w:t>
            </w:r>
            <w:r>
              <w:t xml:space="preserve"> </w:t>
            </w:r>
            <w:r>
              <w:rPr>
                <w:rStyle w:val="VerbatimChar"/>
              </w:rPr>
              <w:t xml:space="preserve">selected_buyer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selected_seller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L412–413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只要有一对成交，整局立即结束</w:t>
            </w:r>
            <w:r>
              <w:t xml:space="preserve">（</w:t>
            </w:r>
            <w:r>
              <w:rPr>
                <w:rStyle w:val="VerbatimChar"/>
              </w:rPr>
              <w:t xml:space="preserve">terminated = True</w:t>
            </w:r>
            <w:r>
              <w:t xml:space="preserve">），其他买家和卖家不再交易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L1022–1044、L1108–1145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分数只用被选中那一对的上限和底价计算议价区间 Z 和 Q，与 1v1 完全相同</w:t>
            </w:r>
          </w:p>
        </w:tc>
      </w:tr>
    </w:tbl>
    <w:p>
      <w:pPr>
        <w:pStyle w:val="BodyText"/>
      </w:pPr>
      <w:r>
        <w:t xml:space="preserve">三买三卖任务（</w:t>
      </w:r>
      <w:r>
        <w:rPr>
          <w:rStyle w:val="VerbatimChar"/>
        </w:rPr>
        <w:t xml:space="preserve">Task2_parallel_three_buyer_three_seller_negotiation.py</w:t>
      </w:r>
      <w:r>
        <w:t xml:space="preserve"> </w:t>
      </w:r>
      <w:r>
        <w:t xml:space="preserve">L506–536）也是同样的逻辑。</w:t>
      </w:r>
    </w:p>
    <w:bookmarkEnd w:id="25"/>
    <w:bookmarkStart w:id="26" w:name="X5eeefd4d3e55d61601ee269bb22afa39f74de81"/>
    <w:p>
      <w:pPr>
        <w:pStyle w:val="Heading3"/>
      </w:pPr>
      <w:r>
        <w:t xml:space="preserve">2.2 我们的分析：三个例子</w:t>
      </w:r>
    </w:p>
    <w:p>
      <w:pPr>
        <w:pStyle w:val="FirstParagraph"/>
      </w:pPr>
      <w:r>
        <w:t xml:space="preserve">下面的分数按 Algorithm 1、第 1 轮成交计算（D=30, W=55, E=15）。</w:t>
      </w:r>
    </w:p>
    <w:p>
      <w:pPr>
        <w:pStyle w:val="BodyText"/>
      </w:pPr>
      <w:r>
        <w:rPr>
          <w:bCs/>
          <w:b/>
        </w:rPr>
        <w:t xml:space="preserve">例 1：竞争结果被判低分。</w:t>
      </w:r>
      <w:r>
        <w:t xml:space="preserve"> </w:t>
      </w:r>
      <w:r>
        <w:t xml:space="preserve">两个买家，上限分别为 350 和 300；一个卖家，底价 200。按拍卖理论（英式拍卖、私人价值），出价高的买家胜出，价格接近第二高的出价，即约 300。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成交价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GlobalScore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275（这一对的中间价）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300（竞争预测）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</w:t>
            </w:r>
          </w:p>
        </w:tc>
      </w:tr>
    </w:tbl>
    <w:p>
      <w:pPr>
        <w:pStyle w:val="BodyText"/>
      </w:pPr>
      <w:r>
        <w:t xml:space="preserve">竞争市场里卖家拿走大部分剩余是正常结果，但 GlobalScore 会把它判为"不够平衡"。</w:t>
      </w:r>
    </w:p>
    <w:p>
      <w:pPr>
        <w:pStyle w:val="BodyText"/>
      </w:pPr>
      <w:r>
        <w:rPr>
          <w:bCs/>
          <w:b/>
        </w:rPr>
        <w:t xml:space="preserve">例 2：低效率的匹配得满分。</w:t>
      </w:r>
      <w:r>
        <w:t xml:space="preserve"> </w:t>
      </w:r>
      <w:r>
        <w:t xml:space="preserve">同样的市场，如果卖家把东西以 250 卖给上限 300 的买家：这一对的议价区间是 200–300，250 正好是中间价，Q = 1，GlobalScore = 100，和最有效率的匹配得分一样。但实际实现的总剩余是 100，而卖给上限 350 的买家可以实现 150。指标看不出这 50 的损失。</w:t>
      </w:r>
    </w:p>
    <w:p>
      <w:pPr>
        <w:pStyle w:val="BodyText"/>
      </w:pPr>
      <w:r>
        <w:rPr>
          <w:bCs/>
          <w:b/>
        </w:rPr>
        <w:t xml:space="preserve">例 3：一局只能成交一笔。</w:t>
      </w:r>
      <w:r>
        <w:t xml:space="preserve"> </w:t>
      </w:r>
      <w:r>
        <w:t xml:space="preserve">两买两卖：买家上限 350、300，卖家底价 200、250，同一种商品。</w:t>
      </w:r>
    </w:p>
    <w:p>
      <w:pPr>
        <w:numPr>
          <w:ilvl w:val="0"/>
          <w:numId w:val="1005"/>
        </w:numPr>
        <w:pStyle w:val="Compact"/>
      </w:pPr>
      <w:r>
        <w:t xml:space="preserve">两笔交易都可以互利（例如 350 的买家对 250 的卖家、300 的买家对 200 的卖家），市场最大总剩余为 (350 + 300) − (200 + 250) = 200。</w:t>
      </w:r>
    </w:p>
    <w:p>
      <w:pPr>
        <w:numPr>
          <w:ilvl w:val="0"/>
          <w:numId w:val="1005"/>
        </w:numPr>
        <w:pStyle w:val="Compact"/>
      </w:pPr>
      <w:r>
        <w:t xml:space="preserve">竞争均衡价格在 250–300 之间：这个价格下两个买家都愿意买，两个卖家都愿意卖。</w:t>
      </w:r>
    </w:p>
    <w:p>
      <w:pPr>
        <w:numPr>
          <w:ilvl w:val="0"/>
          <w:numId w:val="1005"/>
        </w:numPr>
        <w:pStyle w:val="Compact"/>
      </w:pPr>
      <w:r>
        <w:t xml:space="preserve">但论文版代码在第一笔成交后就结束，最多实现一笔交易，总剩余最多 150（75%）。剩下的那笔交易永远不会发生，指标也不会记录这部分损失。</w:t>
      </w:r>
    </w:p>
    <w:bookmarkEnd w:id="26"/>
    <w:bookmarkStart w:id="27" w:name="X6e0e16a9b656b2fcfbbf620d616c09a4ae765dd"/>
    <w:p>
      <w:pPr>
        <w:pStyle w:val="Heading3"/>
      </w:pPr>
      <w:r>
        <w:t xml:space="preserve">2.3 这对论文结论意味着什么</w:t>
      </w:r>
    </w:p>
    <w:p>
      <w:pPr>
        <w:numPr>
          <w:ilvl w:val="0"/>
          <w:numId w:val="1006"/>
        </w:numPr>
        <w:pStyle w:val="Compact"/>
      </w:pPr>
      <w:r>
        <w:t xml:space="preserve">论文 Table 2 显示参与方越多 GlobalScore 越高。由于指标只看一对、且越接近这一对的中间价得分越高，这个趋势</w:t>
      </w:r>
      <w:r>
        <w:rPr>
          <w:bCs/>
          <w:b/>
        </w:rPr>
        <w:t xml:space="preserve">不能直接解释为市场效率更高</w:t>
      </w:r>
      <w:r>
        <w:t xml:space="preserve">。可能只是参与方越多，越容易找到一对谈出接近中间价的组合。</w:t>
      </w:r>
    </w:p>
    <w:p>
      <w:pPr>
        <w:numPr>
          <w:ilvl w:val="0"/>
          <w:numId w:val="1006"/>
        </w:numPr>
        <w:pStyle w:val="Compact"/>
      </w:pPr>
      <w:r>
        <w:t xml:space="preserve">这不是说论文的结果错了，而是论文的指标衡量的是"成交那一对谈得是否平衡"，而不是"市场整体是否有效率"。§3 中提到的 welfare（福利）在多方任务里并没有被完整度量。</w:t>
      </w:r>
    </w:p>
    <w:bookmarkEnd w:id="27"/>
    <w:bookmarkStart w:id="28" w:name="X17e9bf00f2317980cf8da89463298b908cb506e"/>
    <w:p>
      <w:pPr>
        <w:pStyle w:val="Heading3"/>
      </w:pPr>
      <w:r>
        <w:t xml:space="preserve">2.4 可以做的扩展</w:t>
      </w:r>
    </w:p>
    <w:p>
      <w:pPr>
        <w:pStyle w:val="FirstParagraph"/>
      </w:pPr>
      <w:r>
        <w:t xml:space="preserve">见第 5 节。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3eac8911e12e3ccaad8fee3cfae3c60c741bb8e"/>
    <w:p>
      <w:pPr>
        <w:pStyle w:val="Heading2"/>
      </w:pPr>
      <w:r>
        <w:t xml:space="preserve">3. A1 比 A0 好，能说是 prompt 带来的吗</w:t>
      </w:r>
    </w:p>
    <w:bookmarkStart w:id="30" w:name="X375c5a125f2131c4bb0805b29c254bd13fd7597"/>
    <w:p>
      <w:pPr>
        <w:pStyle w:val="Heading3"/>
      </w:pPr>
      <w:r>
        <w:t xml:space="preserve">3.1 论文是否涉及</w:t>
      </w:r>
    </w:p>
    <w:p>
      <w:pPr>
        <w:pStyle w:val="FirstParagraph"/>
      </w:pPr>
      <w:r>
        <w:t xml:space="preserve">没有讨论。论文 §5.1 写道 "All agents use deterministic decoding with temperature 0 and random seed 0 … Each task instance is executed once per model"。论文在人格实验（Table 5）、交叉对战（Table 4）中直接把分数差异归因于人格或模型，没有重复实验、置信区间或显著性检验，也没有讨论 prompt 措辞的敏感性。</w:t>
      </w:r>
    </w:p>
    <w:bookmarkEnd w:id="30"/>
    <w:bookmarkStart w:id="31" w:name="Xf3415fbb2ad9cf28035af2f445ce248d10d04e2"/>
    <w:p>
      <w:pPr>
        <w:pStyle w:val="Heading3"/>
      </w:pPr>
      <w:r>
        <w:t xml:space="preserve">3.2 我们能说什么</w:t>
      </w:r>
    </w:p>
    <w:p>
      <w:pPr>
        <w:pStyle w:val="FirstParagraph"/>
      </w:pPr>
      <w:r>
        <w:t xml:space="preserve">我们的实验是受控的干预实验，不是观察数据：</w:t>
      </w:r>
    </w:p>
    <w:p>
      <w:pPr>
        <w:numPr>
          <w:ilvl w:val="0"/>
          <w:numId w:val="1007"/>
        </w:numPr>
        <w:pStyle w:val="Compact"/>
      </w:pPr>
      <w:r>
        <w:t xml:space="preserve">A0_personas 与 A1 之间只改了买方 prompt；模型文件、卖方 prompt、人物资料、种子 0–9、成交规则、采样参数都相同。</w:t>
      </w:r>
    </w:p>
    <w:p>
      <w:pPr>
        <w:numPr>
          <w:ilvl w:val="0"/>
          <w:numId w:val="1007"/>
        </w:numPr>
        <w:pStyle w:val="Compact"/>
      </w:pPr>
      <w:r>
        <w:t xml:space="preserve">运行代码在基准实验（commit</w:t>
      </w:r>
      <w:r>
        <w:t xml:space="preserve"> </w:t>
      </w:r>
      <w:r>
        <w:rPr>
          <w:rStyle w:val="VerbatimChar"/>
        </w:rPr>
        <w:t xml:space="preserve">3289dd2</w:t>
      </w:r>
      <w:r>
        <w:t xml:space="preserve">）之后只增加了两项功能：读取人物资料文件，以及一个可选的 llama.cpp prompt 缓存（只影响速度）。规则、prompt 拼接和采样代码没有改动（</w:t>
      </w:r>
      <w:r>
        <w:rPr>
          <w:rStyle w:val="VerbatimChar"/>
        </w:rPr>
        <w:t xml:space="preserve">git diff 3289dd2 HEAD</w:t>
      </w:r>
      <w:r>
        <w:t xml:space="preserve"> </w:t>
      </w:r>
      <w:r>
        <w:t xml:space="preserve">可核对）。</w:t>
      </w:r>
    </w:p>
    <w:p>
      <w:pPr>
        <w:pStyle w:val="FirstParagraph"/>
      </w:pPr>
      <w:r>
        <w:t xml:space="preserve">所以在这个设定里，可以说**"这次 prompt 改动导致了成交率和价格的差异"**，偶然性由检验衡量（A1 对 A0_personas 成交率 p = 0.0055；A1 对论文基线成交价 p = 0.012）。</w:t>
      </w:r>
    </w:p>
    <w:bookmarkEnd w:id="31"/>
    <w:bookmarkStart w:id="32" w:name="Xdb62d0203aea417f1a80640dd45672187f70601"/>
    <w:p>
      <w:pPr>
        <w:pStyle w:val="Heading3"/>
      </w:pPr>
      <w:r>
        <w:t xml:space="preserve">3.3 不能说什么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说法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为什么不能这样说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"是某一条策略（如中间价规则）起了作用"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是整体改动，多条规则和措辞一起变了，分不清是哪一句。A1-nod 说明删掉一句从未触发的话，成交率也从 8/10 变到 10/10，措辞本身就有影响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"对其他模型、其他卖方也有效"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 Qwen3-4B（Q8）对论文默认卖方的情况下测过。默认卖方容易照抄买方的中间价，这对 A1 有利（主报告 5.1 第 5 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"A1-nod 比 A1 好"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对 8/10，p = 0.47。见下面的样本量计算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"同一个种子下 A0 和 A1 可以配对比较"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不行。prompt 不同，模型每一步的概率分布就不同，同一个种子产生的随机序列对应的是完全不同的对话，不构成配对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"结果在新的种子上也会一样好"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v1→v5 的每一次修改主要依据种子 0 的试运行结果，存在对测试集过拟合的风险。种子 0 也包含在最终的 10 次运行里</w:t>
            </w:r>
          </w:p>
        </w:tc>
      </w:tr>
    </w:tbl>
    <w:bookmarkEnd w:id="32"/>
    <w:bookmarkStart w:id="33" w:name="X0a375c8ffe3a46d57ab362cbf9671d65d83298e"/>
    <w:p>
      <w:pPr>
        <w:pStyle w:val="Heading3"/>
      </w:pPr>
      <w:r>
        <w:t xml:space="preserve">3.4 样本量：10 次能看出多大的差异</w:t>
      </w:r>
    </w:p>
    <w:p>
      <w:pPr>
        <w:pStyle w:val="FirstParagraph"/>
      </w:pPr>
      <w:r>
        <w:t xml:space="preserve">用模拟估计双侧检验（α = 0.05）的检出概率（统计功效）。成交率用 Fisher 精确检验，每种情况模拟 4000 次；价格用 Mann–Whitney 检验，并假设价格服从正态分布（均值和标准差取自实际结果）。本文所有计算（功效、评分例子、Rubinstein 基准、耗时表）的代码见</w:t>
      </w:r>
      <w:r>
        <w:t xml:space="preserve"> </w:t>
      </w:r>
      <w:r>
        <w:rPr>
          <w:rStyle w:val="VerbatimChar"/>
        </w:rPr>
        <w:t xml:space="preserve">experiments/bezos_graham/supplementary_calcs.py</w:t>
      </w:r>
      <w:r>
        <w:t xml:space="preserve">，固定随机种子，可复现。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每组 10 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20 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30 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50 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 80% 对 100%（如 A1 对 A1-nod）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 60% 对 100%（如 A2 对 A1-nod）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 30% 对 80%（如基线对 A1）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成交率 10% 对 80%（如 A0_personas 对 A1）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每组 10 次只能可靠地看出"10% 对 80%"这种很大的差异。</w:t>
      </w:r>
    </w:p>
    <w:p>
      <w:pPr>
        <w:numPr>
          <w:ilvl w:val="0"/>
          <w:numId w:val="1008"/>
        </w:numPr>
        <w:pStyle w:val="Compact"/>
      </w:pPr>
      <w:r>
        <w:t xml:space="preserve">A1 和 A1-nod 之间（80% 对 100%）每组需要约 50 次才有 95% 的把握看出差异。</w:t>
      </w:r>
    </w:p>
    <w:p>
      <w:pPr>
        <w:numPr>
          <w:ilvl w:val="0"/>
          <w:numId w:val="1008"/>
        </w:numPr>
        <w:pStyle w:val="Compact"/>
      </w:pPr>
      <w:r>
        <w:t xml:space="preserve">价格方面，A1（289.7）与 A1-nod（286.3）相差约 3.4，每组 300 次的功效也只有约 0.77，实际上可以视为没有差异。A2 与 A1 相差约 11，每组 20 次的功效约 0.32。</w:t>
      </w:r>
    </w:p>
    <w:bookmarkEnd w:id="33"/>
    <w:bookmarkStart w:id="34" w:name="X082a03043ce203ca86069baa231fc8dd598057d"/>
    <w:p>
      <w:pPr>
        <w:pStyle w:val="Heading3"/>
      </w:pPr>
      <w:r>
        <w:t xml:space="preserve">3.5 可以做的扩展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析因消融</w:t>
      </w:r>
      <w:r>
        <w:t xml:space="preserve">：把 A1 拆成几个模块（消息格式、首次报价、接受规则、中间价规则、让步幅度），逐个打开或关闭，估计每个模块的效果。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更多种子，并把"调参种子"和"评估种子"分开</w:t>
      </w:r>
      <w:r>
        <w:t xml:space="preserve">：例如只用种子 0–4 调 prompt，用 100–149 做最终评估。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换对手和模型</w:t>
      </w:r>
      <w:r>
        <w:t xml:space="preserve">：用更强硬的卖方 prompt、更大的模型扮演卖方，检验策略是否依赖默认卖方的习惯。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措辞扰动</w:t>
      </w:r>
      <w:r>
        <w:t xml:space="preserve">：对同一策略写 3–5 种措辞不同但含义相同的版本，看结果的波动有多大。这能区分"策略的效果"和"措辞的效果"。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事先登记分析计划</w:t>
      </w:r>
      <w:r>
        <w:t xml:space="preserve">：在跑正式实验前写下要比较的组、指标和检验方法，避免看到结果后再挑比较。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e1726f3d4988efafc682ad6ed5dcc6e7a6308c1"/>
    <w:p>
      <w:pPr>
        <w:pStyle w:val="Heading2"/>
      </w:pPr>
      <w:r>
        <w:t xml:space="preserve">4. 算力：CPU 不能替代 GPU，以及代码的可扩展性</w:t>
      </w:r>
    </w:p>
    <w:bookmarkStart w:id="36" w:name="X53e10ef61a66ec5b8348e34031707d6ae70af1f"/>
    <w:p>
      <w:pPr>
        <w:pStyle w:val="Heading3"/>
      </w:pPr>
      <w:r>
        <w:t xml:space="preserve">4.1 论文是否涉及</w:t>
      </w:r>
    </w:p>
    <w:p>
      <w:pPr>
        <w:pStyle w:val="FirstParagraph"/>
      </w:pPr>
      <w:r>
        <w:t xml:space="preserve">论文 §5.1："For open-source models, we perform inference using 4 NVIDIA A800 GPUs"，每次回复最多生成 1024 个 token。论文强调框架 "scalable"、支持 vLLM、SGLang 和云端 API，但没有讨论算力受限、量化或 CPU 运行对结果的影响。</w:t>
      </w:r>
    </w:p>
    <w:bookmarkEnd w:id="36"/>
    <w:bookmarkStart w:id="37" w:name="X7b9312343acae92a137a1f9cf64c4102f991a15"/>
    <w:p>
      <w:pPr>
        <w:pStyle w:val="Heading3"/>
      </w:pPr>
      <w:r>
        <w:t xml:space="preserve">4.2 我们的情况</w:t>
      </w:r>
    </w:p>
    <w:p>
      <w:pPr>
        <w:pStyle w:val="FirstParagraph"/>
      </w:pPr>
      <w:r>
        <w:t xml:space="preserve">本实验只有 CPU 和 16 GB 内存，用 Q8_0 量化的 GGUF 文件运行（主报告 1.3 节）。各组 10 次运行的耗时（来自</w:t>
      </w:r>
      <w:r>
        <w:t xml:space="preserve"> </w:t>
      </w:r>
      <w:r>
        <w:rPr>
          <w:rStyle w:val="VerbatimChar"/>
        </w:rPr>
        <w:t xml:space="preserve">results/*/runs.csv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elapsed_s</w:t>
      </w:r>
      <w: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单次最短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单次最长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10 次合计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A0_paper_default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A0_personas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小时</w:t>
            </w:r>
          </w:p>
        </w:tc>
      </w:tr>
    </w:tbl>
    <w:p>
      <w:pPr>
        <w:pStyle w:val="BodyText"/>
      </w:pPr>
      <w:r>
        <w:t xml:space="preserve">50 次正式运行共约 36 小时，超时的运行（20 轮）单次要 70–111 分钟。</w:t>
      </w:r>
    </w:p>
    <w:p>
      <w:pPr>
        <w:pStyle w:val="BodyText"/>
      </w:pPr>
      <w:r>
        <w:t xml:space="preserve">算力限制带来了以下影响：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样本量小</w:t>
      </w:r>
      <w:r>
        <w:t xml:space="preserve">：每组只能跑 10 次，见 3.4 节。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模型小、且经过量化</w:t>
      </w:r>
      <w:r>
        <w:t xml:space="preserve">：论文最小的开源模型是 Llama-3.1-8B，我们用的是 4B 的 Q8 版本。Q8 与原版接近但不完全相同。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生成长度更短</w:t>
      </w:r>
      <w:r>
        <w:t xml:space="preserve">：论文每次最多 1024 个 token，我们设为 300，以控制运行时间。我们的买方 prompt 要求每条消息少于 80 词，所以影响应该不大，但对论文默认 prompt 的基线组来说，这是一处与论文不同的设置，主报告 1.4 节没有单独列出。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迭代成本高</w:t>
      </w:r>
      <w:r>
        <w:t xml:space="preserve">：每改一次 prompt 只能先跑 1 次试验，这是 3.3 节"对测试集过拟合"风险的直接原因。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没有做温度 0 的论文式对照</w:t>
      </w:r>
      <w:r>
        <w:t xml:space="preserve">：理论上可以加一组 temperature 0 来和论文设置对齐，但只能得到 1 条对话，信息量很少，在算力有限时我们没有做。</w:t>
      </w:r>
    </w:p>
    <w:bookmarkEnd w:id="37"/>
    <w:bookmarkStart w:id="38" w:name="X87aef0a6eb101be8073c3801e65baba7aa4a26d"/>
    <w:p>
      <w:pPr>
        <w:pStyle w:val="Heading3"/>
      </w:pPr>
      <w:r>
        <w:t xml:space="preserve">4.3 代码的可扩展性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方面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有 GPU 或想扩展时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已支持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hf</w:t>
            </w:r>
            <w:r>
              <w:t xml:space="preserve">（transformers）/</w:t>
            </w:r>
            <w:r>
              <w:t xml:space="preserve"> </w:t>
            </w:r>
            <w:r>
              <w:rPr>
                <w:rStyle w:val="VerbatimChar"/>
              </w:rPr>
              <w:t xml:space="preserve">gguf</w:t>
            </w:r>
            <w:r>
              <w:t xml:space="preserve">（llama.cpp）/</w:t>
            </w:r>
            <w:r>
              <w:t xml:space="preserve"> </w:t>
            </w:r>
            <w:r>
              <w:rPr>
                <w:rStyle w:val="VerbatimChar"/>
              </w:rP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NVIDIA GPU 时用</w:t>
            </w:r>
            <w:r>
              <w:t xml:space="preserve"> </w:t>
            </w:r>
            <w:r>
              <w:rPr>
                <w:rStyle w:val="VerbatimChar"/>
              </w:rPr>
              <w:t xml:space="preserve">--backend vllm</w:t>
            </w:r>
            <w:r>
              <w:t xml:space="preserve">（Linux）或</w:t>
            </w:r>
            <w:r>
              <w:t xml:space="preserve"> </w:t>
            </w:r>
            <w:r>
              <w:rPr>
                <w:rStyle w:val="VerbatimChar"/>
              </w:rPr>
              <w:t xml:space="preserve">--backend hf --device cuda</w:t>
            </w:r>
            <w:r>
              <w:t xml:space="preserve"> </w:t>
            </w:r>
            <w:r>
              <w:t xml:space="preserve">加载原版权重，可直接换更大的模型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轮数、初始要价、种子、温度、生成长度、买卖方模板、人物资料均可通过命令行修改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买方上限 350、卖方底价 200 目前写在</w:t>
            </w:r>
            <w:r>
              <w:t xml:space="preserve"> </w:t>
            </w:r>
            <w:r>
              <w:rPr>
                <w:rStyle w:val="VerbatimChar"/>
              </w:rPr>
              <w:t xml:space="preserve">exp_config.py</w:t>
            </w:r>
            <w:r>
              <w:t xml:space="preserve"> </w:t>
            </w:r>
            <w:r>
              <w:t xml:space="preserve">中，需要加命令行参数才能做保留价的敏感性实验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人物资料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persona_pipeline.py</w:t>
            </w:r>
            <w:r>
              <w:t xml:space="preserve"> </w:t>
            </w:r>
            <w:r>
              <w:t xml:space="preserve">是通用流程（Wikidata 查询 + 文件正则 + 本地模型抽取 + 原文校验）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换人物只需修改查询目标和来源列表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机制分析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analyze_closing.py</w:t>
            </w:r>
            <w:r>
              <w:t xml:space="preserve"> </w:t>
            </w:r>
            <w:r>
              <w:t xml:space="preserve">只针对 1v1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多方任务需要按"每一对"统计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episode.py</w:t>
            </w:r>
            <w:r>
              <w:t xml:space="preserve"> </w:t>
            </w:r>
            <w:r>
              <w:t xml:space="preserve">只驱动 1v1 的 Task1 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需要：(1) 驱动多方环境的循环（上游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  <w:r>
              <w:t xml:space="preserve"> </w:t>
            </w:r>
            <w:r>
              <w:t xml:space="preserve">下每类任务都有示例）；(2) 为每个买家、卖家分别设置 prompt 和人物资料；(3) 第 5 节的市场层面指标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X343f0e32d7b17b9f7a509a1a5f5e48805f021f0"/>
    <w:p>
      <w:pPr>
        <w:pStyle w:val="Heading2"/>
      </w:pPr>
      <w:r>
        <w:t xml:space="preserve">5. 多买多卖：分析框架应从 1v1 升级到博弈论模型</w:t>
      </w:r>
    </w:p>
    <w:bookmarkStart w:id="40" w:name="X7255bbb2b38a47d779dd127621fa106656a637c"/>
    <w:p>
      <w:pPr>
        <w:pStyle w:val="Heading3"/>
      </w:pPr>
      <w:r>
        <w:t xml:space="preserve">5.1 论文是否涉及</w:t>
      </w:r>
    </w:p>
    <w:p>
      <w:pPr>
        <w:numPr>
          <w:ilvl w:val="0"/>
          <w:numId w:val="1011"/>
        </w:numPr>
        <w:pStyle w:val="Compact"/>
      </w:pPr>
      <w:r>
        <w:t xml:space="preserve">论文相关工作（§2）引用了 Chatterjee &amp; Samuelson（1983）、Myerson &amp; Satterthwaite（1983）、Rubinstein（1985）等经典文献，但把它们作为对比对象："These models typically assume agents interact through scalar bids or utilities … such formulations abstract away the role of language"。分析部分没有使用这些模型做基准。</w:t>
      </w:r>
    </w:p>
    <w:p>
      <w:pPr>
        <w:numPr>
          <w:ilvl w:val="0"/>
          <w:numId w:val="1011"/>
        </w:numPr>
        <w:pStyle w:val="Compact"/>
      </w:pPr>
      <w:r>
        <w:t xml:space="preserve">论文贡献中写到 "We formalize language-mediated buyer–seller negotiation as a multi-agent game with private reservation values"，但没有求解或引用这个博弈的均衡。</w:t>
      </w:r>
    </w:p>
    <w:p>
      <w:pPr>
        <w:numPr>
          <w:ilvl w:val="0"/>
          <w:numId w:val="1011"/>
        </w:numPr>
        <w:pStyle w:val="Compact"/>
      </w:pPr>
      <w:r>
        <w:t xml:space="preserve">对 Table 2（参与方越多分数越高），论文 §5.3 的解释是："can be attributed to increased market liquidity: agents have more opportunities to find compatible trading partners, and the presence of alternatives encourages more reasonable offers and faster convergence." 这是一个假设，论文没有设计实验验证。</w:t>
      </w:r>
    </w:p>
    <w:bookmarkEnd w:id="40"/>
    <w:bookmarkStart w:id="41" w:name="X67470e5e32de7812e0283c940b9d5a7b667e457"/>
    <w:p>
      <w:pPr>
        <w:pStyle w:val="Heading3"/>
      </w:pPr>
      <w:r>
        <w:t xml:space="preserve">5.2 我们的分析</w:t>
      </w:r>
    </w:p>
    <w:p>
      <w:pPr>
        <w:pStyle w:val="FirstParagraph"/>
      </w:pPr>
      <w:r>
        <w:t xml:space="preserve">1v1 的分析逻辑是"一对买卖双方 + 一个议价区间 + 离中间价多远"。多方市场有 1v1 没有的问题：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1v1 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多方市场中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谁和谁成交（配置）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只有一种可能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有多种匹配方式，效率可以差很多（第 2 节例 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成交几笔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或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可以有多笔，总剩余取决于成交了几笔（第 2 节例 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价格的理论基准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议价解（纳什、Rubinstein）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竞争均衡价格、拍卖价格（第 2 节例 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只有"不成交"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可以转向其他对手，外部选择决定议价力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新的策略行为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共谋、虚张声势称"有别的报价"、在多个谈判间压价</w:t>
            </w:r>
          </w:p>
        </w:tc>
      </w:tr>
    </w:tbl>
    <w:p>
      <w:pPr>
        <w:pStyle w:val="BodyText"/>
      </w:pPr>
      <w:r>
        <w:t xml:space="preserve">所以多方任务需要的不是把 1v1 公式套用到最后那一对上，而是一套市场层面的分析框架。</w:t>
      </w:r>
    </w:p>
    <w:bookmarkEnd w:id="41"/>
    <w:bookmarkStart w:id="42" w:name="X19b5e22b3ab931e24017f31ca64986fa96b79e4"/>
    <w:p>
      <w:pPr>
        <w:pStyle w:val="Heading3"/>
      </w:pPr>
      <w:r>
        <w:t xml:space="preserve">5.3 建议的指标和基准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指标或基准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回答的问题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实际实现的总剩余 ÷ 市场最大总剩余（最大值用最优分配求出）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市场是否把东西交给了最看重它的人、由成本最低的人提供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成交笔数比例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实际成交笔数 ÷ 有效率的成交笔数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互利的交易是否都发生了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竞争均衡价格区间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单一商品、每人最多买卖一件时，把买家上限从高到低、卖家底价从低到高排序，均衡价格在供需曲线交点的区间内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成交价是否落在竞争市场的预测范围内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拍卖基准（一卖多买）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英式拍卖下价格约为第二高的买家上限；一买多卖时约为第二低的卖家底价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竞争是否真的把价格推向理论值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稳定性（Shapley–Shubik 分配博弈）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检查是否存在"阻挠对"：一对没有成交的买卖双方，彼此成交能让两人都更好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结果是否稳定，是否有人有动机偏离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剩余分配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买方总剩余、卖方总剩余，与竞争均衡下的分配对比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谁在竞争中获益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共谋检测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同侧代理之间的价格是否同步、是否出现明显高于竞争基准的价格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代理是否会自发共谋（论文引用了 Agrawal et al. 2025 关于 LLM 在双边拍卖中共谋的研究，但自己没有检测）</w:t>
            </w:r>
          </w:p>
        </w:tc>
      </w:tr>
    </w:tbl>
    <w:bookmarkEnd w:id="42"/>
    <w:bookmarkStart w:id="43" w:name="X3644d05df64a672b4e6be34d902bdb491d18f7b"/>
    <w:p>
      <w:pPr>
        <w:pStyle w:val="Heading3"/>
      </w:pPr>
      <w:r>
        <w:t xml:space="preserve">5.4 建议的实验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检验"市场流动性"解释</w:t>
      </w:r>
      <w:r>
        <w:t xml:space="preserve">：固定一个买家和一个卖家的保留价，逐步增加竞争对手的数量（1、2、3 个），看成交价是否向竞争均衡或拍卖基准移动，成交速度是否加快。如果流动性解释成立，价格应该朝理论方向移动；如果只是"更容易凑出一对中间价"，价格不会系统性移动。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允许多笔成交</w:t>
      </w:r>
      <w:r>
        <w:t xml:space="preserve">：修改环境，让已成交的一对退出，其余参与方继续谈，直到无人愿意成交或达到轮数上限。这样才能度量配置效率和成交笔数。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与人类实验对比</w:t>
      </w:r>
      <w:r>
        <w:t xml:space="preserve">：实验经济学中有大量双边拍卖、多方议价的人类实验数据（如 Vernon Smith 关于双边拍卖收敛到竞争均衡的经典实验），可以作为 LLM 行为的参照。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本任务的多方版本</w:t>
      </w:r>
      <w:r>
        <w:t xml:space="preserve">：例如加入第二个潜在买家（另一位有意收购报纸的投资者），看"Bezos"的成交价和成交率如何变化，以及 A1 这类策略在有竞争者时是否仍然有效。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4c15b80c5aeb3c37b433a626fe86d78ee1a3dbd"/>
    <w:p>
      <w:pPr>
        <w:pStyle w:val="Heading2"/>
      </w:pPr>
      <w:r>
        <w:t xml:space="preserve">6. 小结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本文的补充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中间价最优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只说明指标在平分时最高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 Q 是归一化的纳什乘积，中间价是价值判断；理论预测随模型和协议变化；信息不完全时 100% 成交率不是自然基准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多方剩余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 1v1 公式，只计一对，第一笔成交即结束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用三个例子说明指标可能把竞争结果判低分、把低效匹配判满分、忽略未发生的交易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因果解释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没有讨论，单次运行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说明受控实验能支持的结论和不能支持的推广，并用功效计算说明 10 次样本能看出多大的差异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张 A800，未讨论受限情况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 CPU 耗时，列出算力对样本量、模型、生成长度、迭代的影响，以及代码扩展需要补的模块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博弈论框架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只在相关工作中引用；"流动性"解释未验证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提出市场层面的指标、理论基准，以及检验"流动性"解释的实验设计</w:t>
            </w:r>
          </w:p>
        </w:tc>
      </w:tr>
    </w:tbl>
    <w:p>
      <w:pPr>
        <w:pStyle w:val="BodyText"/>
      </w:pPr>
      <w:r>
        <w:t xml:space="preserve">这些问题都不影响主报告在本任务范围内的结论（1 买 1 卖、同一模型、只改买方 prompt），但如果要把这类实验推广到多方市场或用来分析真实交易，它们都需要先解决。</w:t>
      </w:r>
    </w:p>
    <w:bookmarkEnd w:id="45"/>
    <w:bookmarkStart w:id="46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13"/>
        </w:numPr>
        <w:pStyle w:val="Compact"/>
      </w:pPr>
      <w:r>
        <w:t xml:space="preserve">Chatterjee, K. &amp; Samuelson, W. (1983). Bargaining under incomplete information.</w:t>
      </w:r>
      <w:r>
        <w:t xml:space="preserve"> </w:t>
      </w:r>
      <w:r>
        <w:rPr>
          <w:iCs/>
          <w:i/>
        </w:rPr>
        <w:t xml:space="preserve">Operations Research</w:t>
      </w:r>
      <w:r>
        <w:t xml:space="preserve">, 31(5), 835–851.</w:t>
      </w:r>
    </w:p>
    <w:p>
      <w:pPr>
        <w:numPr>
          <w:ilvl w:val="0"/>
          <w:numId w:val="1013"/>
        </w:numPr>
        <w:pStyle w:val="Compact"/>
      </w:pPr>
      <w:r>
        <w:t xml:space="preserve">Myerson, R. &amp; Satterthwaite, M. (1983). Efficient mechanisms for bilateral trading.</w:t>
      </w:r>
      <w:r>
        <w:t xml:space="preserve"> </w:t>
      </w:r>
      <w:r>
        <w:rPr>
          <w:iCs/>
          <w:i/>
        </w:rPr>
        <w:t xml:space="preserve">Journal of Economic Theory</w:t>
      </w:r>
      <w:r>
        <w:t xml:space="preserve">, 29(2), 265–281.</w:t>
      </w:r>
    </w:p>
    <w:p>
      <w:pPr>
        <w:numPr>
          <w:ilvl w:val="0"/>
          <w:numId w:val="1013"/>
        </w:numPr>
        <w:pStyle w:val="Compact"/>
      </w:pPr>
      <w:r>
        <w:t xml:space="preserve">Nash, J. (1950). The bargaining problem.</w:t>
      </w:r>
      <w:r>
        <w:t xml:space="preserve"> </w:t>
      </w:r>
      <w:r>
        <w:rPr>
          <w:iCs/>
          <w:i/>
        </w:rPr>
        <w:t xml:space="preserve">Econometrica</w:t>
      </w:r>
      <w:r>
        <w:t xml:space="preserve">, 18(2), 155–162.</w:t>
      </w:r>
    </w:p>
    <w:p>
      <w:pPr>
        <w:numPr>
          <w:ilvl w:val="0"/>
          <w:numId w:val="1013"/>
        </w:numPr>
        <w:pStyle w:val="Compact"/>
      </w:pPr>
      <w:r>
        <w:t xml:space="preserve">Rubinstein, A. (1982). Perfect equilibrium in a bargaining model.</w:t>
      </w:r>
      <w:r>
        <w:t xml:space="preserve"> </w:t>
      </w:r>
      <w:r>
        <w:rPr>
          <w:iCs/>
          <w:i/>
        </w:rPr>
        <w:t xml:space="preserve">Econometrica</w:t>
      </w:r>
      <w:r>
        <w:t xml:space="preserve">, 50(1), 97–109.</w:t>
      </w:r>
    </w:p>
    <w:p>
      <w:pPr>
        <w:numPr>
          <w:ilvl w:val="0"/>
          <w:numId w:val="1013"/>
        </w:numPr>
        <w:pStyle w:val="Compact"/>
      </w:pPr>
      <w:r>
        <w:t xml:space="preserve">Shapley, L. &amp; Shubik, M. (1971). The assignment game I: The core.</w:t>
      </w:r>
      <w:r>
        <w:t xml:space="preserve"> </w:t>
      </w:r>
      <w:r>
        <w:rPr>
          <w:iCs/>
          <w:i/>
        </w:rPr>
        <w:t xml:space="preserve">International Journal of Game Theory</w:t>
      </w:r>
      <w:r>
        <w:t xml:space="preserve">, 1, 111–130.</w:t>
      </w:r>
    </w:p>
    <w:p>
      <w:pPr>
        <w:numPr>
          <w:ilvl w:val="0"/>
          <w:numId w:val="1013"/>
        </w:numPr>
        <w:pStyle w:val="Compact"/>
      </w:pPr>
      <w:r>
        <w:t xml:space="preserve">Smith, V. (1962). An experimental study of competitive market behavior.</w:t>
      </w:r>
      <w:r>
        <w:t xml:space="preserve"> </w:t>
      </w:r>
      <w:r>
        <w:rPr>
          <w:iCs/>
          <w:i/>
        </w:rPr>
        <w:t xml:space="preserve">Journal of Political Economy</w:t>
      </w:r>
      <w:r>
        <w:t xml:space="preserve">, 70(2), 111–137.</w:t>
      </w:r>
    </w:p>
    <w:p>
      <w:pPr>
        <w:numPr>
          <w:ilvl w:val="0"/>
          <w:numId w:val="1013"/>
        </w:numPr>
        <w:pStyle w:val="Compact"/>
      </w:pPr>
      <w:r>
        <w:t xml:space="preserve">Agrawal, K. et al. (2025). Evaluating LLM agent collusion in double auctions. arXiv:2507.01413.（论文引用）</w:t>
      </w:r>
    </w:p>
    <w:p>
      <w:pPr>
        <w:numPr>
          <w:ilvl w:val="0"/>
          <w:numId w:val="1013"/>
        </w:numPr>
        <w:pStyle w:val="Compact"/>
      </w:pPr>
      <w:r>
        <w:t xml:space="preserve">Gu, S. et al. (2026). AgenticPay: A Multi-Agent LLM Negotiation System for Buyer–Seller Transactions. arXiv:2602.06008.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Microsoft YaHe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Microsoft YaHe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Microsoft YaHei"/>
    </w:rPr>
  </w:style>
  <w:style w:styleId="Bibliography" w:type="paragraph">
    <w:name w:val="Bibliography"/>
    <w:basedOn w:val="Normal"/>
    <w:next w:val="Bibliography"/>
    <w:qFormat/>
    <w:pPr/>
    <w:rPr>
      <w:rFonts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Microsoft YaHei"/>
    </w:rPr>
  </w:style>
  <w:style w:default="1" w:styleId="DefaultParagraphFont" w:type="character">
    <w:name w:val="Default Paragraph Font"/>
    <w:semiHidden/>
    <w:unhideWhenUsed/>
    <w:rPr>
      <w:rFonts w:eastAsia="Microsoft YaHei"/>
    </w:rPr>
  </w:style>
  <w:style w:default="1" w:styleId="Table" w:type="table">
    <w:name w:val="Table"/>
    <w:basedOn w:val="TableNormal"/>
    <w:semiHidden/>
    <w:unhideWhenUsed/>
    <w:qFormat/>
    <w:rPr>
      <w:rFonts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Microsoft YaHei"/>
    </w:rPr>
  </w:style>
  <w:style w:customStyle="1" w:styleId="Definition" w:type="paragraph">
    <w:name w:val="Definition"/>
    <w:basedOn w:val="Normal"/>
    <w:rPr>
      <w:rFonts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Microsoft YaHei"/>
    </w:rPr>
  </w:style>
  <w:style w:customStyle="1" w:styleId="TableCaption" w:type="paragraph">
    <w:name w:val="Table Caption"/>
    <w:basedOn w:val="Caption"/>
    <w:pPr>
      <w:keepNext/>
    </w:pPr>
    <w:rPr>
      <w:rFonts w:eastAsia="Microsoft YaHei"/>
    </w:rPr>
  </w:style>
  <w:style w:customStyle="1" w:styleId="ImageCaption" w:type="paragraph">
    <w:name w:val="Image Caption"/>
    <w:basedOn w:val="Caption"/>
    <w:rPr>
      <w:rFonts w:eastAsia="Microsoft YaHei"/>
    </w:rPr>
  </w:style>
  <w:style w:customStyle="1" w:styleId="Figure" w:type="paragraph">
    <w:name w:val="Figure"/>
    <w:basedOn w:val="Normal"/>
    <w:rPr>
      <w:rFonts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eastAsia="Microsoft YaHei"/>
    </w:rPr>
  </w:style>
  <w:style w:customStyle="1" w:styleId="BodyTextChar" w:type="character">
    <w:name w:val="Body Text Char"/>
    <w:basedOn w:val="DefaultParagraphFont"/>
    <w:link w:val="BodyText"/>
    <w:rPr>
      <w:rFonts w:eastAsia="Microsoft YaHei"/>
    </w:rPr>
  </w:style>
  <w:style w:customStyle="1" w:styleId="VerbatimChar" w:type="character">
    <w:name w:val="Verbatim Char"/>
    <w:basedOn w:val="BodyTextChar"/>
    <w:rPr>
      <w:rFonts w:ascii="Consolas" w:hAnsi="Consolas" w:eastAsia="Microsoft YaHei"/>
      <w:sz w:val="22"/>
    </w:rPr>
  </w:style>
  <w:style w:customStyle="1" w:styleId="SectionNumber" w:type="character">
    <w:name w:val="Section Number"/>
    <w:basedOn w:val="BodyTextChar"/>
    <w:rPr>
      <w:rFonts w:eastAsia="Microsoft YaHei"/>
    </w:rPr>
  </w:style>
  <w:style w:styleId="FootnoteReference" w:type="character">
    <w:name w:val="Footnote Reference"/>
    <w:basedOn w:val="BodyTextChar"/>
    <w:rPr>
      <w:vertAlign w:val="superscript"/>
      <w:rFonts w:eastAsia="Microsoft YaHei"/>
    </w:rPr>
  </w:style>
  <w:style w:styleId="Hyperlink" w:type="character">
    <w:name w:val="Hyperlink"/>
    <w:basedOn w:val="BodyTextChar"/>
    <w:rPr>
      <w:color w:themeColor="accent1" w:val="4F81BD"/>
      <w:rFonts w:eastAsia="Microsoft YaHe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Microsoft YaHei"/>
    </w:rPr>
  </w:style>
  <w:style w:type="character" w:customStyle="1" w:styleId="KeywordTok">
    <w:name w:val="KeywordTok"/>
    <w:basedOn w:val="VerbatimChar"/>
    <w:rPr>
      <w:color w:val="007020"/>
      <w:b/>
      <w:rFonts w:eastAsia="Microsoft YaHei"/>
    </w:rPr>
  </w:style>
  <w:style w:type="character" w:customStyle="1" w:styleId="DataTypeTok">
    <w:name w:val="DataTypeTok"/>
    <w:basedOn w:val="VerbatimChar"/>
    <w:rPr>
      <w:color w:val="902000"/>
      <w:rFonts w:eastAsia="Microsoft YaHei"/>
    </w:rPr>
  </w:style>
  <w:style w:type="character" w:customStyle="1" w:styleId="DecValTok">
    <w:name w:val="DecValTok"/>
    <w:basedOn w:val="VerbatimChar"/>
    <w:rPr>
      <w:color w:val="40a070"/>
      <w:rFonts w:eastAsia="Microsoft YaHei"/>
    </w:rPr>
  </w:style>
  <w:style w:type="character" w:customStyle="1" w:styleId="BaseNTok">
    <w:name w:val="BaseNTok"/>
    <w:basedOn w:val="VerbatimChar"/>
    <w:rPr>
      <w:color w:val="40a070"/>
      <w:rFonts w:eastAsia="Microsoft YaHei"/>
    </w:rPr>
  </w:style>
  <w:style w:type="character" w:customStyle="1" w:styleId="FloatTok">
    <w:name w:val="FloatTok"/>
    <w:basedOn w:val="VerbatimChar"/>
    <w:rPr>
      <w:color w:val="40a070"/>
      <w:rFonts w:eastAsia="Microsoft YaHei"/>
    </w:rPr>
  </w:style>
  <w:style w:type="character" w:customStyle="1" w:styleId="ConstantTok">
    <w:name w:val="ConstantTok"/>
    <w:basedOn w:val="VerbatimChar"/>
    <w:rPr>
      <w:color w:val="880000"/>
      <w:rFonts w:eastAsia="Microsoft YaHei"/>
    </w:rPr>
  </w:style>
  <w:style w:type="character" w:customStyle="1" w:styleId="CharTok">
    <w:name w:val="CharTok"/>
    <w:basedOn w:val="VerbatimChar"/>
    <w:rPr>
      <w:color w:val="4070a0"/>
      <w:rFonts w:eastAsia="Microsoft YaHei"/>
    </w:rPr>
  </w:style>
  <w:style w:type="character" w:customStyle="1" w:styleId="SpecialCharTok">
    <w:name w:val="SpecialCharTok"/>
    <w:basedOn w:val="VerbatimChar"/>
    <w:rPr>
      <w:color w:val="4070a0"/>
      <w:rFonts w:eastAsia="Microsoft YaHei"/>
    </w:rPr>
  </w:style>
  <w:style w:type="character" w:customStyle="1" w:styleId="StringTok">
    <w:name w:val="StringTok"/>
    <w:basedOn w:val="VerbatimChar"/>
    <w:rPr>
      <w:color w:val="4070a0"/>
      <w:rFonts w:eastAsia="Microsoft YaHei"/>
    </w:rPr>
  </w:style>
  <w:style w:type="character" w:customStyle="1" w:styleId="VerbatimStringTok">
    <w:name w:val="VerbatimStringTok"/>
    <w:basedOn w:val="VerbatimChar"/>
    <w:rPr>
      <w:color w:val="4070a0"/>
      <w:rFonts w:eastAsia="Microsoft YaHei"/>
    </w:rPr>
  </w:style>
  <w:style w:type="character" w:customStyle="1" w:styleId="SpecialStringTok">
    <w:name w:val="SpecialStringTok"/>
    <w:basedOn w:val="VerbatimChar"/>
    <w:rPr>
      <w:color w:val="bb6688"/>
      <w:rFonts w:eastAsia="Microsoft YaHei"/>
    </w:rPr>
  </w:style>
  <w:style w:type="character" w:customStyle="1" w:styleId="ImportTok">
    <w:name w:val="ImportTok"/>
    <w:basedOn w:val="VerbatimChar"/>
    <w:rPr>
      <w:color w:val="008000"/>
      <w:b/>
      <w:rFonts w:eastAsia="Microsoft YaHei"/>
    </w:rPr>
  </w:style>
  <w:style w:type="character" w:customStyle="1" w:styleId="CommentTok">
    <w:name w:val="CommentTok"/>
    <w:basedOn w:val="VerbatimChar"/>
    <w:rPr>
      <w:color w:val="60a0b0"/>
      <w:i/>
      <w:rFonts w:eastAsia="Microsoft YaHei"/>
    </w:rPr>
  </w:style>
  <w:style w:type="character" w:customStyle="1" w:styleId="DocumentationTok">
    <w:name w:val="DocumentationTok"/>
    <w:basedOn w:val="VerbatimChar"/>
    <w:rPr>
      <w:color w:val="ba2121"/>
      <w:i/>
      <w:rFonts w:eastAsia="Microsoft YaHei"/>
    </w:rPr>
  </w:style>
  <w:style w:type="character" w:customStyle="1" w:styleId="AnnotationTok">
    <w:name w:val="AnnotationTok"/>
    <w:basedOn w:val="VerbatimChar"/>
    <w:rPr>
      <w:color w:val="60a0b0"/>
      <w:b/>
      <w:i/>
      <w:rFonts w:eastAsia="Microsoft YaHei"/>
    </w:rPr>
  </w:style>
  <w:style w:type="character" w:customStyle="1" w:styleId="CommentVarTok">
    <w:name w:val="CommentVarTok"/>
    <w:basedOn w:val="VerbatimChar"/>
    <w:rPr>
      <w:color w:val="60a0b0"/>
      <w:b/>
      <w:i/>
      <w:rFonts w:eastAsia="Microsoft YaHei"/>
    </w:rPr>
  </w:style>
  <w:style w:type="character" w:customStyle="1" w:styleId="OtherTok">
    <w:name w:val="OtherTok"/>
    <w:basedOn w:val="VerbatimChar"/>
    <w:rPr>
      <w:color w:val="007020"/>
      <w:rFonts w:eastAsia="Microsoft YaHei"/>
    </w:rPr>
  </w:style>
  <w:style w:type="character" w:customStyle="1" w:styleId="FunctionTok">
    <w:name w:val="FunctionTok"/>
    <w:basedOn w:val="VerbatimChar"/>
    <w:rPr>
      <w:color w:val="06287e"/>
      <w:rFonts w:eastAsia="Microsoft YaHei"/>
    </w:rPr>
  </w:style>
  <w:style w:type="character" w:customStyle="1" w:styleId="VariableTok">
    <w:name w:val="VariableTok"/>
    <w:basedOn w:val="VerbatimChar"/>
    <w:rPr>
      <w:color w:val="19177c"/>
      <w:rFonts w:eastAsia="Microsoft YaHei"/>
    </w:rPr>
  </w:style>
  <w:style w:type="character" w:customStyle="1" w:styleId="ControlFlowTok">
    <w:name w:val="ControlFlowTok"/>
    <w:basedOn w:val="VerbatimChar"/>
    <w:rPr>
      <w:color w:val="007020"/>
      <w:b/>
      <w:rFonts w:eastAsia="Microsoft YaHei"/>
    </w:rPr>
  </w:style>
  <w:style w:type="character" w:customStyle="1" w:styleId="OperatorTok">
    <w:name w:val="OperatorTok"/>
    <w:basedOn w:val="VerbatimChar"/>
    <w:rPr>
      <w:color w:val="666666"/>
      <w:rFonts w:eastAsia="Microsoft YaHei"/>
    </w:rPr>
  </w:style>
  <w:style w:type="character" w:customStyle="1" w:styleId="BuiltInTok">
    <w:name w:val="BuiltInTok"/>
    <w:basedOn w:val="VerbatimChar"/>
    <w:rPr>
      <w:color w:val="008000"/>
      <w:rFonts w:eastAsia="Microsoft YaHei"/>
    </w:rPr>
  </w:style>
  <w:style w:type="character" w:customStyle="1" w:styleId="ExtensionTok">
    <w:name w:val="ExtensionTok"/>
    <w:basedOn w:val="VerbatimChar"/>
    <w:rPr>
      <w:rFonts w:eastAsia="Microsoft YaHei"/>
    </w:rPr>
  </w:style>
  <w:style w:type="character" w:customStyle="1" w:styleId="PreprocessorTok">
    <w:name w:val="PreprocessorTok"/>
    <w:basedOn w:val="VerbatimChar"/>
    <w:rPr>
      <w:color w:val="bc7a00"/>
      <w:rFonts w:eastAsia="Microsoft YaHei"/>
    </w:rPr>
  </w:style>
  <w:style w:type="character" w:customStyle="1" w:styleId="AttributeTok">
    <w:name w:val="AttributeTok"/>
    <w:basedOn w:val="VerbatimChar"/>
    <w:rPr>
      <w:color w:val="7d9029"/>
      <w:rFonts w:eastAsia="Microsoft YaHei"/>
    </w:rPr>
  </w:style>
  <w:style w:type="character" w:customStyle="1" w:styleId="RegionMarkerTok">
    <w:name w:val="RegionMarkerTok"/>
    <w:basedOn w:val="VerbatimChar"/>
    <w:rPr>
      <w:rFonts w:eastAsia="Microsoft YaHei"/>
    </w:rPr>
  </w:style>
  <w:style w:type="character" w:customStyle="1" w:styleId="InformationTok">
    <w:name w:val="InformationTok"/>
    <w:basedOn w:val="VerbatimChar"/>
    <w:rPr>
      <w:color w:val="60a0b0"/>
      <w:b/>
      <w:i/>
      <w:rFonts w:eastAsia="Microsoft YaHei"/>
    </w:rPr>
  </w:style>
  <w:style w:type="character" w:customStyle="1" w:styleId="WarningTok">
    <w:name w:val="WarningTok"/>
    <w:basedOn w:val="VerbatimChar"/>
    <w:rPr>
      <w:color w:val="60a0b0"/>
      <w:b/>
      <w:i/>
      <w:rFonts w:eastAsia="Microsoft YaHei"/>
    </w:rPr>
  </w:style>
  <w:style w:type="character" w:customStyle="1" w:styleId="AlertTok">
    <w:name w:val="AlertTok"/>
    <w:basedOn w:val="VerbatimChar"/>
    <w:rPr>
      <w:color w:val="ff0000"/>
      <w:b/>
      <w:rFonts w:eastAsia="Microsoft YaHei"/>
    </w:rPr>
  </w:style>
  <w:style w:type="character" w:customStyle="1" w:styleId="ErrorTok">
    <w:name w:val="ErrorTok"/>
    <w:basedOn w:val="VerbatimChar"/>
    <w:rPr>
      <w:color w:val="ff0000"/>
      <w:b/>
      <w:rFonts w:eastAsia="Microsoft YaHei"/>
    </w:rPr>
  </w:style>
  <w:style w:type="character" w:customStyle="1" w:styleId="NormalTok">
    <w:name w:val="NormalTok"/>
    <w:basedOn w:val="VerbatimChar"/>
    <w:rPr>
      <w:rFonts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2026-10-19T02:45:24Z</dcterms:created>
  <dcterms:modified xsi:type="dcterms:W3CDTF">2026-10-19T02:45:24Z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