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56"/>
              </w:rPr>
              <w:t>GRC → US</w:t>
              <w:br/>
            </w:r>
            <w:r>
              <w:rPr>
                <w:rFonts w:ascii="Calibri" w:hAnsi="Calibri"/>
                <w:color w:val="FBBF24"/>
                <w:sz w:val="28"/>
              </w:rPr>
              <w:t>Цифровая операционная платформа</w:t>
              <w:br/>
            </w:r>
            <w:r>
              <w:rPr>
                <w:rFonts w:ascii="Calibri" w:hAnsi="Calibri"/>
                <w:color w:val="CBD5E1"/>
                <w:sz w:val="22"/>
              </w:rPr>
              <w:t>Коммерческое предложение · 2026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color w:val="334155"/>
          <w:sz w:val="22"/>
        </w:rPr>
        <w:t>Исполнитель: Andrei Zobnin · архитектор системы</w:t>
      </w:r>
    </w:p>
    <w:p>
      <w:pPr>
        <w:spacing w:after="160"/>
      </w:pPr>
      <w:r>
        <w:rPr>
          <w:rFonts w:ascii="Calibri" w:hAnsi="Calibri"/>
          <w:b w:val="0"/>
          <w:color w:val="334155"/>
          <w:sz w:val="22"/>
        </w:rPr>
        <w:t>Для: GRC · выход на рынок США (выездной ремонт тяжёлого оборудования)</w:t>
      </w:r>
    </w:p>
    <w:p>
      <w:pPr>
        <w:spacing w:after="160"/>
      </w:pPr>
      <w:r>
        <w:rPr>
          <w:rFonts w:ascii="Calibri" w:hAnsi="Calibri"/>
          <w:b w:val="0"/>
          <w:color w:val="334155"/>
          <w:sz w:val="22"/>
        </w:rPr>
        <w:t>Формат: поэтапное внедрение · согласование и приёмка по этапам · сервисы — на аккаунтах GRC.</w:t>
      </w:r>
    </w:p>
    <w:p>
      <w:pPr>
        <w:spacing w:after="240"/>
      </w:pPr>
      <w:r>
        <w:rPr>
          <w:rFonts w:ascii="Calibri" w:hAnsi="Calibri"/>
          <w:b w:val="0"/>
          <w:color w:val="334155"/>
          <w:sz w:val="20"/>
        </w:rPr>
        <w:t>Стоимость работ и схема оплаты — в приложении в конце документа, после описания этапов.</w:t>
      </w:r>
    </w:p>
    <w:p/>
    <w:p>
      <w:pPr>
        <w:pStyle w:val="Heading2"/>
      </w:pPr>
      <w:r>
        <w:rPr>
          <w:rFonts w:ascii="Calibri" w:hAnsi="Calibri"/>
          <w:color w:val="0F172A"/>
        </w:rPr>
        <w:t>1. Суть предложения</w:t>
      </w:r>
    </w:p>
    <w:p>
      <w:pPr>
        <w:spacing w:after="160"/>
      </w:pPr>
      <w:r>
        <w:rPr>
          <w:rFonts w:ascii="Calibri" w:hAnsi="Calibri"/>
          <w:b w:val="0"/>
          <w:color w:val="334155"/>
          <w:sz w:val="22"/>
        </w:rPr>
        <w:t>Проект — отдельный US-контур: не перестройка всего GRC в России, а своя цепочка от первого касания до повторного заказа на американском рынке.</w:t>
      </w:r>
    </w:p>
    <w:p>
      <w:pPr>
        <w:spacing w:after="80"/>
      </w:pPr>
      <w:r>
        <w:rPr>
          <w:rFonts w:ascii="Calibri" w:hAnsi="Calibri"/>
          <w:b/>
          <w:color w:val="334155"/>
          <w:sz w:val="20"/>
        </w:rPr>
        <w:t>Полная цепочка:</w:t>
      </w:r>
    </w:p>
    <w:p>
      <w:r>
        <w:rPr>
          <w:b/>
          <w:color w:val="0F172A"/>
          <w:sz w:val="21"/>
        </w:rPr>
        <w:t>Сайт → Приём заявок → AI Estimator → CRM → (аварийный отклик) → Личный кабинет клиента → Документы → Выезд → Отчёт → Повторный заказ</w:t>
      </w:r>
    </w:p>
    <w:p>
      <w:pPr>
        <w:spacing w:after="160"/>
      </w:pPr>
      <w:r>
        <w:rPr>
          <w:rFonts w:ascii="Calibri" w:hAnsi="Calibri"/>
          <w:b w:val="0"/>
          <w:color w:val="334155"/>
          <w:sz w:val="22"/>
        </w:rPr>
        <w:t>AI Estimator у GRC уже есть — в проект входит подключение к US-потоку, не разработка с нуля.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Для встречи</w:t>
            </w:r>
          </w:p>
        </w:tc>
        <w:tc>
          <w:tcPr>
            <w:tcW w:type="dxa" w:w="4752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Детализация</w:t>
            </w:r>
          </w:p>
        </w:tc>
      </w:tr>
      <w:tr>
        <w:tc>
          <w:tcPr>
            <w:tcW w:type="dxa" w:w="3168"/>
            <w:shd w:fill="FFFFFF" w:val="clear"/>
          </w:tcPr>
          <w:p>
            <w:r>
              <w:rPr>
                <w:rFonts w:ascii="Calibri" w:hAnsi="Calibri"/>
                <w:sz w:val="20"/>
              </w:rPr>
              <w:t>~6 месяцев — первый рабочий контур</w:t>
            </w:r>
          </w:p>
        </w:tc>
        <w:tc>
          <w:tcPr>
            <w:tcW w:type="dxa" w:w="4752"/>
            <w:shd w:fill="FFFFFF" w:val="clear"/>
          </w:tcPr>
          <w:p>
            <w:r>
              <w:rPr>
                <w:rFonts w:ascii="Calibri" w:hAnsi="Calibri"/>
                <w:sz w:val="20"/>
              </w:rPr>
              <w:t>24–34 недели по этапам</w:t>
            </w:r>
          </w:p>
        </w:tc>
      </w:tr>
      <w:tr>
        <w:tc>
          <w:tcPr>
            <w:tcW w:type="dxa" w:w="3168"/>
            <w:shd w:fill="F8FAFC" w:val="clear"/>
          </w:tcPr>
          <w:p>
            <w:r>
              <w:rPr>
                <w:rFonts w:ascii="Calibri" w:hAnsi="Calibri"/>
                <w:sz w:val="20"/>
              </w:rPr>
              <w:t>Полный рабочий контур — до 8 месяцев</w:t>
            </w:r>
          </w:p>
        </w:tc>
        <w:tc>
          <w:tcPr>
            <w:tcW w:type="dxa" w:w="4752"/>
            <w:shd w:fill="F8FAFC" w:val="clear"/>
          </w:tcPr>
          <w:p>
            <w:r>
              <w:rPr>
                <w:rFonts w:ascii="Calibri" w:hAnsi="Calibri"/>
                <w:sz w:val="20"/>
              </w:rPr>
              <w:t>с учётом параллельных работ и приёмки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F172A"/>
        </w:rPr>
        <w:t>2. Состав платформы</w:t>
      </w:r>
    </w:p>
    <w:p>
      <w:pPr>
        <w:pStyle w:val="Heading3"/>
      </w:pPr>
      <w:r>
        <w:rPr>
          <w:rFonts w:ascii="Calibri" w:hAnsi="Calibri"/>
          <w:color w:val="B45309"/>
        </w:rPr>
        <w:t>Как сказать клиенту</w:t>
      </w:r>
    </w:p>
    <w:p>
      <w:r>
        <w:rPr>
          <w:i/>
          <w:color w:val="334155"/>
          <w:sz w:val="20"/>
        </w:rPr>
        <w:t>В базовую версию US-платформы входит цифровой контур: заявки через сайт, email- и SMS-уведомления, личный кабинет клиента со статусами и документами. Голосовой AI-ассистент на телефоне — отдельный опциональный модуль: подключается по необходимости и не входит в базовую программу без отдельного согласования.</w:t>
      </w:r>
    </w:p>
    <w:p>
      <w:pPr>
        <w:pStyle w:val="Heading3"/>
      </w:pPr>
      <w:r>
        <w:rPr>
          <w:rFonts w:ascii="Calibri" w:hAnsi="Calibri"/>
          <w:color w:val="B45309"/>
        </w:rPr>
        <w:t>2.1. Базовая версия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5184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Содержание</w:t>
            </w:r>
          </w:p>
        </w:tc>
      </w:tr>
      <w:tr>
        <w:tc>
          <w:tcPr>
            <w:tcW w:type="dxa" w:w="2304"/>
            <w:shd w:fill="FFFFFF" w:val="clear"/>
          </w:tcPr>
          <w:p>
            <w:r>
              <w:rPr>
                <w:rFonts w:ascii="Calibri" w:hAnsi="Calibri"/>
                <w:sz w:val="20"/>
              </w:rPr>
              <w:t>Заявки через сайт</w:t>
            </w:r>
          </w:p>
        </w:tc>
        <w:tc>
          <w:tcPr>
            <w:tcW w:type="dxa" w:w="5184"/>
            <w:shd w:fill="FFFFFF" w:val="clear"/>
          </w:tcPr>
          <w:p>
            <w:r>
              <w:rPr>
                <w:rFonts w:ascii="Calibri" w:hAnsi="Calibri"/>
                <w:sz w:val="20"/>
              </w:rPr>
              <w:t>Формы, аварийная заявка → CRM</w:t>
            </w:r>
          </w:p>
        </w:tc>
      </w:tr>
      <w:tr>
        <w:tc>
          <w:tcPr>
            <w:tcW w:type="dxa" w:w="2304"/>
            <w:shd w:fill="F8FAFC" w:val="clear"/>
          </w:tcPr>
          <w:p>
            <w:r>
              <w:rPr>
                <w:rFonts w:ascii="Calibri" w:hAnsi="Calibri"/>
                <w:sz w:val="20"/>
              </w:rPr>
              <w:t>Email-уведомления</w:t>
            </w:r>
          </w:p>
        </w:tc>
        <w:tc>
          <w:tcPr>
            <w:tcW w:type="dxa" w:w="5184"/>
            <w:shd w:fill="F8FAFC" w:val="clear"/>
          </w:tcPr>
          <w:p>
            <w:r>
              <w:rPr>
                <w:rFonts w:ascii="Calibri" w:hAnsi="Calibri"/>
                <w:sz w:val="20"/>
              </w:rPr>
              <w:t>Клиенту и команде по статусам</w:t>
            </w:r>
          </w:p>
        </w:tc>
      </w:tr>
      <w:tr>
        <w:tc>
          <w:tcPr>
            <w:tcW w:type="dxa" w:w="2304"/>
            <w:shd w:fill="FFFFFF" w:val="clear"/>
          </w:tcPr>
          <w:p>
            <w:r>
              <w:rPr>
                <w:rFonts w:ascii="Calibri" w:hAnsi="Calibri"/>
                <w:sz w:val="20"/>
              </w:rPr>
              <w:t>SMS-уведомления</w:t>
            </w:r>
          </w:p>
        </w:tc>
        <w:tc>
          <w:tcPr>
            <w:tcW w:type="dxa" w:w="5184"/>
            <w:shd w:fill="FFFFFF" w:val="clear"/>
          </w:tcPr>
          <w:p>
            <w:r>
              <w:rPr>
                <w:rFonts w:ascii="Calibri" w:hAnsi="Calibri"/>
                <w:sz w:val="20"/>
              </w:rPr>
              <w:t>Авария: диспетчер, автоответ, эскалация</w:t>
            </w:r>
          </w:p>
        </w:tc>
      </w:tr>
      <w:tr>
        <w:tc>
          <w:tcPr>
            <w:tcW w:type="dxa" w:w="2304"/>
            <w:shd w:fill="F8FAFC" w:val="clear"/>
          </w:tcPr>
          <w:p>
            <w:r>
              <w:rPr>
                <w:rFonts w:ascii="Calibri" w:hAnsi="Calibri"/>
                <w:sz w:val="20"/>
              </w:rPr>
              <w:t>Личный кабинет</w:t>
            </w:r>
          </w:p>
        </w:tc>
        <w:tc>
          <w:tcPr>
            <w:tcW w:type="dxa" w:w="5184"/>
            <w:shd w:fill="F8FAFC" w:val="clear"/>
          </w:tcPr>
          <w:p>
            <w:r>
              <w:rPr>
                <w:rFonts w:ascii="Calibri" w:hAnsi="Calibri"/>
                <w:sz w:val="20"/>
              </w:rPr>
              <w:t>Вход клиента, обзор заявок (MVP)</w:t>
            </w:r>
          </w:p>
        </w:tc>
      </w:tr>
      <w:tr>
        <w:tc>
          <w:tcPr>
            <w:tcW w:type="dxa" w:w="2304"/>
            <w:shd w:fill="FFFFFF" w:val="clear"/>
          </w:tcPr>
          <w:p>
            <w:r>
              <w:rPr>
                <w:rFonts w:ascii="Calibri" w:hAnsi="Calibri"/>
                <w:sz w:val="20"/>
              </w:rPr>
              <w:t>Статусы</w:t>
            </w:r>
          </w:p>
        </w:tc>
        <w:tc>
          <w:tcPr>
            <w:tcW w:type="dxa" w:w="5184"/>
            <w:shd w:fill="FFFFFF" w:val="clear"/>
          </w:tcPr>
          <w:p>
            <w:r>
              <w:rPr>
                <w:rFonts w:ascii="Calibri" w:hAnsi="Calibri"/>
                <w:sz w:val="20"/>
              </w:rPr>
              <w:t>Этап заявки для клиента и команды</w:t>
            </w:r>
          </w:p>
        </w:tc>
      </w:tr>
      <w:tr>
        <w:tc>
          <w:tcPr>
            <w:tcW w:type="dxa" w:w="2304"/>
            <w:shd w:fill="F8FAFC" w:val="clear"/>
          </w:tcPr>
          <w:p>
            <w:r>
              <w:rPr>
                <w:rFonts w:ascii="Calibri" w:hAnsi="Calibri"/>
                <w:sz w:val="20"/>
              </w:rPr>
              <w:t>Документы</w:t>
            </w:r>
          </w:p>
        </w:tc>
        <w:tc>
          <w:tcPr>
            <w:tcW w:type="dxa" w:w="5184"/>
            <w:shd w:fill="F8FAFC" w:val="clear"/>
          </w:tcPr>
          <w:p>
            <w:r>
              <w:rPr>
                <w:rFonts w:ascii="Calibri" w:hAnsi="Calibri"/>
                <w:sz w:val="20"/>
              </w:rPr>
              <w:t>Upload, PDF КП/отчётов; без суммы в UI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color w:val="334155"/>
          <w:sz w:val="18"/>
        </w:rPr>
        <w:t>По программе внедрения также: AI Estimator (интеграция), CRM, контент, outreach, документы на площадку, радар, отчёты. Кабинет — этап 3 после стабильного intake с сайта.</w:t>
      </w:r>
    </w:p>
    <w:p>
      <w:pPr>
        <w:pStyle w:val="Heading3"/>
      </w:pPr>
      <w:r>
        <w:rPr>
          <w:rFonts w:ascii="Calibri" w:hAnsi="Calibri"/>
          <w:color w:val="B45309"/>
        </w:rPr>
        <w:t>2.2. Опциональный модуль (не в базе)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Модуль</w:t>
            </w:r>
          </w:p>
        </w:tc>
        <w:tc>
          <w:tcPr>
            <w:tcW w:type="dxa" w:w="6912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sz w:val="20"/>
              </w:rPr>
              <w:t>Голосовой AI-ассистент</w:t>
            </w:r>
          </w:p>
        </w:tc>
        <w:tc>
          <w:tcPr>
            <w:tcW w:type="dxa" w:w="6912"/>
            <w:shd w:fill="FFFFFF" w:val="clear"/>
          </w:tcPr>
          <w:p>
            <w:r>
              <w:rPr>
                <w:rFonts w:ascii="Calibri" w:hAnsi="Calibri"/>
                <w:sz w:val="20"/>
              </w:rPr>
              <w:t>Телефон 24/7: сбор заявки, planned/emergency → CRM. Не входит в $43 000 без отдельного согласования.</w:t>
            </w:r>
          </w:p>
        </w:tc>
      </w:tr>
    </w:tbl>
    <w:p>
      <w:pPr>
        <w:pStyle w:val="Heading3"/>
      </w:pPr>
      <w:r>
        <w:rPr>
          <w:rFonts w:ascii="Calibri" w:hAnsi="Calibri"/>
          <w:color w:val="B45309"/>
        </w:rPr>
        <w:t>2.3. Не входит в программу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разработка AI Estimator с нуля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замена CRM или бухгалтерии GRC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гарантия фиксированного числа сделок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перестройка 1grc.ru</w:t>
      </w:r>
    </w:p>
    <w:p/>
    <w:p>
      <w:pPr>
        <w:pStyle w:val="Heading2"/>
      </w:pPr>
      <w:r>
        <w:rPr>
          <w:rFonts w:ascii="Calibri" w:hAnsi="Calibri"/>
          <w:color w:val="0F172A"/>
        </w:rPr>
        <w:t>3. Этапы внедрения</w:t>
      </w:r>
    </w:p>
    <w:p>
      <w:pPr>
        <w:spacing w:after="160"/>
      </w:pPr>
      <w:r>
        <w:rPr>
          <w:rFonts w:ascii="Calibri" w:hAnsi="Calibri"/>
          <w:b w:val="0"/>
          <w:color w:val="334155"/>
          <w:sz w:val="20"/>
        </w:rPr>
        <w:t>Четыре этапа с понятной сдачей. Сроки — в неделях. Календарь зависит от согласований и доступов GRC.</w:t>
      </w:r>
    </w:p>
    <w:p>
      <w:pPr>
        <w:spacing w:after="200"/>
      </w:pPr>
      <w:r>
        <w:rPr>
          <w:rFonts w:ascii="Calibri" w:hAnsi="Calibri"/>
          <w:b w:val="0"/>
          <w:color w:val="334155"/>
          <w:sz w:val="20"/>
        </w:rPr>
        <w:t>Ориентир по программе: ~6 месяцев до рабочего контура; полный контур — до 8 месяцев.</w:t>
      </w:r>
    </w:p>
    <w:p>
      <w:pPr>
        <w:pStyle w:val="Heading3"/>
      </w:pPr>
      <w:r>
        <w:rPr>
          <w:rFonts w:ascii="Calibri" w:hAnsi="Calibri"/>
          <w:color w:val="B45309"/>
        </w:rPr>
        <w:t>Этап 1 · Фундамент: заявка не теряется</w:t>
      </w:r>
    </w:p>
    <w:p>
      <w:pPr>
        <w:spacing w:after="120"/>
      </w:pPr>
      <w:r>
        <w:rPr>
          <w:b/>
          <w:color w:val="B45309"/>
          <w:sz w:val="22"/>
        </w:rPr>
        <w:t>Срок: 6–10 недель</w:t>
      </w:r>
    </w:p>
    <w:p>
      <w:pPr>
        <w:spacing w:after="120"/>
      </w:pPr>
      <w:r>
        <w:rPr>
          <w:rFonts w:ascii="Calibri" w:hAnsi="Calibri"/>
          <w:b/>
          <w:color w:val="334155"/>
          <w:sz w:val="20"/>
        </w:rPr>
        <w:t>Фокус: модули 1–3 · приём заявок, аварийный отклик, CRM</w:t>
      </w:r>
    </w:p>
    <w:p>
      <w:pPr>
        <w:spacing w:after="80"/>
      </w:pPr>
      <w:r>
        <w:rPr>
          <w:rFonts w:ascii="Calibri" w:hAnsi="Calibri"/>
          <w:b/>
          <w:color w:val="334155"/>
          <w:sz w:val="20"/>
        </w:rPr>
        <w:t>Недели 1–2 — подготовка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воронка CRM под US B2B-цикл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роли: диспетчер, ночной ответственный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шаблоны SMS и автоответов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формат карточки для инженера и AI Estimator</w:t>
      </w:r>
    </w:p>
    <w:p>
      <w:pPr>
        <w:spacing w:after="80"/>
      </w:pPr>
      <w:r>
        <w:rPr>
          <w:rFonts w:ascii="Calibri" w:hAnsi="Calibri"/>
          <w:b/>
          <w:color w:val="334155"/>
          <w:sz w:val="20"/>
        </w:rPr>
        <w:t>Недели 3–6 — первая сдача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US-сайт: заявка и кнопка аварии → CRM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авария: SMS, автоответ, эскалация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связка заявка → AI Estimator → CRM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регламент ночного отклика (15 мин)</w:t>
      </w:r>
    </w:p>
    <w:p>
      <w:pPr>
        <w:spacing w:after="80"/>
      </w:pPr>
      <w:r>
        <w:rPr>
          <w:rFonts w:ascii="Calibri" w:hAnsi="Calibri"/>
          <w:b/>
          <w:color w:val="334155"/>
          <w:sz w:val="20"/>
        </w:rPr>
        <w:t>Результат этапа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заявка с сайта в CRM, не в почте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на аварию — SMS и ответ клиенту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Estimator получает структурированный пакет</w:t>
      </w:r>
    </w:p>
    <w:p>
      <w:pPr>
        <w:spacing w:after="80"/>
      </w:pPr>
      <w:r>
        <w:rPr>
          <w:rFonts w:ascii="Calibri" w:hAnsi="Calibri"/>
          <w:b/>
          <w:color w:val="334155"/>
          <w:sz w:val="20"/>
        </w:rPr>
        <w:t>Не в этом этапе / не обещаем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голосовой AI-ассистент (опциональный модуль)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личный кабинет — этап 3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радар остановок и полный пакет документов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контент и массовый прямой выход</w:t>
      </w:r>
    </w:p>
    <w:p/>
    <w:p>
      <w:pPr>
        <w:pStyle w:val="Heading3"/>
      </w:pPr>
      <w:r>
        <w:rPr>
          <w:rFonts w:ascii="Calibri" w:hAnsi="Calibri"/>
          <w:color w:val="B45309"/>
        </w:rPr>
        <w:t>Этап 2 · Вас находят и выходите на людей</w:t>
      </w:r>
    </w:p>
    <w:p>
      <w:pPr>
        <w:spacing w:after="120"/>
      </w:pPr>
      <w:r>
        <w:rPr>
          <w:b/>
          <w:color w:val="B45309"/>
          <w:sz w:val="22"/>
        </w:rPr>
        <w:t>Срок: 6–8 недель</w:t>
      </w:r>
    </w:p>
    <w:p>
      <w:pPr>
        <w:spacing w:after="120"/>
      </w:pPr>
      <w:r>
        <w:rPr>
          <w:rFonts w:ascii="Calibri" w:hAnsi="Calibri"/>
          <w:b/>
          <w:color w:val="334155"/>
          <w:sz w:val="20"/>
        </w:rPr>
        <w:t>Фокус: модули 4–5 · контент и прямой выход</w:t>
      </w:r>
    </w:p>
    <w:p>
      <w:r>
        <w:rPr>
          <w:b/>
          <w:color w:val="B45309"/>
        </w:rPr>
        <w:t xml:space="preserve">Когда стартуем: </w:t>
      </w:r>
      <w:r>
        <w:rPr>
          <w:color w:val="334155"/>
          <w:sz w:val="20"/>
        </w:rPr>
        <w:t>параллельно концу этапа 1 — после первой сдачи сайта и CRM</w:t>
      </w:r>
    </w:p>
    <w:p>
      <w:pPr>
        <w:spacing w:after="80"/>
      </w:pPr>
      <w:r>
        <w:rPr>
          <w:rFonts w:ascii="Calibri" w:hAnsi="Calibri"/>
          <w:b/>
          <w:color w:val="334155"/>
          <w:sz w:val="20"/>
        </w:rPr>
        <w:t>Работы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15–20 кейсов с 1grc.ru → US-сайт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базовое SEO по поломке / ремонту на объекте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база контактов Gulf Coast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шаблоны писем под оборудование на площадке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прямой выход: 50–100 контактов, трекинг в CRM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ежемесячный отчёт по воронке</w:t>
      </w:r>
    </w:p>
    <w:p>
      <w:pPr>
        <w:spacing w:after="80"/>
      </w:pPr>
      <w:r>
        <w:rPr>
          <w:rFonts w:ascii="Calibri" w:hAnsi="Calibri"/>
          <w:b/>
          <w:color w:val="334155"/>
          <w:sz w:val="20"/>
        </w:rPr>
        <w:t>Результат этапа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US-инженер находит GRC по задаче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выход на тех, кто подписывает Purchase order</w:t>
      </w:r>
    </w:p>
    <w:p>
      <w:pPr>
        <w:spacing w:after="80"/>
      </w:pPr>
      <w:r>
        <w:rPr>
          <w:rFonts w:ascii="Calibri" w:hAnsi="Calibri"/>
          <w:b/>
          <w:color w:val="334155"/>
          <w:sz w:val="20"/>
        </w:rPr>
        <w:t>Не в этом этапе / не обещаем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фиксированное число сделок — обещаем процесс в CRM</w:t>
      </w:r>
    </w:p>
    <w:p/>
    <w:p>
      <w:pPr>
        <w:pStyle w:val="Heading3"/>
      </w:pPr>
      <w:r>
        <w:rPr>
          <w:rFonts w:ascii="Calibri" w:hAnsi="Calibri"/>
          <w:color w:val="B45309"/>
        </w:rPr>
        <w:t>Этап 3 · Личный кабинет клиента (MVP)</w:t>
      </w:r>
    </w:p>
    <w:p>
      <w:pPr>
        <w:spacing w:after="120"/>
      </w:pPr>
      <w:r>
        <w:rPr>
          <w:b/>
          <w:color w:val="B45309"/>
          <w:sz w:val="22"/>
        </w:rPr>
        <w:t>Срок: 4–6 недель</w:t>
      </w:r>
    </w:p>
    <w:p>
      <w:pPr>
        <w:spacing w:after="120"/>
      </w:pPr>
      <w:r>
        <w:rPr>
          <w:rFonts w:ascii="Calibri" w:hAnsi="Calibri"/>
          <w:b/>
          <w:color w:val="334155"/>
          <w:sz w:val="20"/>
        </w:rPr>
        <w:t>Фокус: личный кабинет · слой поверх CRM</w:t>
      </w:r>
    </w:p>
    <w:p>
      <w:r>
        <w:rPr>
          <w:b/>
          <w:color w:val="B45309"/>
        </w:rPr>
        <w:t xml:space="preserve">Когда стартуем: </w:t>
      </w:r>
      <w:r>
        <w:rPr>
          <w:color w:val="334155"/>
          <w:sz w:val="20"/>
        </w:rPr>
        <w:t>после 2+ недель стабильного приёма заявок в CRM</w:t>
      </w:r>
    </w:p>
    <w:p>
      <w:pPr>
        <w:spacing w:after="80"/>
      </w:pPr>
      <w:r>
        <w:rPr>
          <w:rFonts w:ascii="Calibri" w:hAnsi="Calibri"/>
          <w:b/>
          <w:color w:val="334155"/>
          <w:sz w:val="20"/>
        </w:rPr>
        <w:t>Работы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один контакт на компанию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дашборд: заявки, статусы, что дальше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карточка: объём работ + шаг (без суммы в UI)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документы: upload, PDF КП и отчётов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повторная заявка → CRM</w:t>
      </w:r>
    </w:p>
    <w:p>
      <w:pPr>
        <w:spacing w:after="80"/>
      </w:pPr>
      <w:r>
        <w:rPr>
          <w:rFonts w:ascii="Calibri" w:hAnsi="Calibri"/>
          <w:b/>
          <w:color w:val="334155"/>
          <w:sz w:val="20"/>
        </w:rPr>
        <w:t>Результат этапа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клиент видит статус без переписки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воспринимается как платформа, не «форма»</w:t>
      </w:r>
    </w:p>
    <w:p>
      <w:pPr>
        <w:spacing w:after="80"/>
      </w:pPr>
      <w:r>
        <w:rPr>
          <w:rFonts w:ascii="Calibri" w:hAnsi="Calibri"/>
          <w:b/>
          <w:color w:val="334155"/>
          <w:sz w:val="20"/>
        </w:rPr>
        <w:t>Не в этом этапе / не обещаем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чат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цены в UI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несколько пользователей на компанию</w:t>
      </w:r>
    </w:p>
    <w:p/>
    <w:p>
      <w:pPr>
        <w:pStyle w:val="Heading3"/>
      </w:pPr>
      <w:r>
        <w:rPr>
          <w:rFonts w:ascii="Calibri" w:hAnsi="Calibri"/>
          <w:color w:val="B45309"/>
        </w:rPr>
        <w:t>Этап 4 · Крупные контракты и повторные заказы</w:t>
      </w:r>
    </w:p>
    <w:p>
      <w:pPr>
        <w:spacing w:after="120"/>
      </w:pPr>
      <w:r>
        <w:rPr>
          <w:b/>
          <w:color w:val="B45309"/>
          <w:sz w:val="22"/>
        </w:rPr>
        <w:t>Срок: 8–10 недель</w:t>
      </w:r>
    </w:p>
    <w:p>
      <w:pPr>
        <w:spacing w:after="120"/>
      </w:pPr>
      <w:r>
        <w:rPr>
          <w:rFonts w:ascii="Calibri" w:hAnsi="Calibri"/>
          <w:b/>
          <w:color w:val="334155"/>
          <w:sz w:val="20"/>
        </w:rPr>
        <w:t>Фокус: модули 6–8 · документы, радар, отчёты, память</w:t>
      </w:r>
    </w:p>
    <w:p>
      <w:pPr>
        <w:spacing w:after="80"/>
      </w:pPr>
      <w:r>
        <w:rPr>
          <w:rFonts w:ascii="Calibri" w:hAnsi="Calibri"/>
          <w:b/>
          <w:color w:val="334155"/>
          <w:sz w:val="20"/>
        </w:rPr>
        <w:t>Работы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пакет COI, OSHA, safety — сборка и напоминания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радар turnarounds: сигнал за 3–6 месяцев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отчёт PDF за 48 часов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память объекта в CRM/базе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внутренняя панель над CRM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5–7 сценариев автоматизации (согласование на старте)</w:t>
      </w:r>
    </w:p>
    <w:p>
      <w:pPr>
        <w:spacing w:after="80"/>
      </w:pPr>
      <w:r>
        <w:rPr>
          <w:rFonts w:ascii="Calibri" w:hAnsi="Calibri"/>
          <w:b/>
          <w:color w:val="334155"/>
          <w:sz w:val="20"/>
        </w:rPr>
        <w:t>Результат этапа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контур: касание → выезд → документы → отчёт → повтор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опыт не уезжает с сотрудником</w:t>
      </w:r>
    </w:p>
    <w:p>
      <w:pPr>
        <w:spacing w:after="80"/>
      </w:pPr>
      <w:r>
        <w:rPr>
          <w:rFonts w:ascii="Calibri" w:hAnsi="Calibri"/>
          <w:b/>
          <w:color w:val="334155"/>
          <w:sz w:val="20"/>
        </w:rPr>
        <w:t>Не в этом этапе / не обещаем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замена CRM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enterprise-аналитика вне списка workflow</w:t>
      </w:r>
    </w:p>
    <w:p/>
    <w:p>
      <w:pPr>
        <w:pStyle w:val="Heading2"/>
      </w:pPr>
      <w:r>
        <w:rPr>
          <w:rFonts w:ascii="Calibri" w:hAnsi="Calibri"/>
          <w:color w:val="0F172A"/>
        </w:rPr>
        <w:t>4. Приёмка этапа</w:t>
      </w:r>
    </w:p>
    <w:p>
      <w:pPr>
        <w:spacing w:after="160"/>
      </w:pPr>
      <w:r>
        <w:rPr>
          <w:rFonts w:ascii="Calibri" w:hAnsi="Calibri"/>
          <w:b w:val="0"/>
          <w:color w:val="334155"/>
          <w:sz w:val="20"/>
        </w:rPr>
        <w:t>По согласованному чеклисту, не по календарной дате.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Этап 1: заявка в CRM, авария → SMS, сквозной кейс Estimator, регламент GRC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Этап 2: кейсы live, воронка в CRM, отчёт за месяц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Этап 3: тестовый клиент до повторной заявки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Этап 4: чеклист 5–7 пунктов на kickoff</w:t>
      </w:r>
    </w:p>
    <w:p>
      <w:pPr>
        <w:pStyle w:val="Heading2"/>
      </w:pPr>
      <w:r>
        <w:rPr>
          <w:rFonts w:ascii="Calibri" w:hAnsi="Calibri"/>
          <w:color w:val="0F172A"/>
        </w:rPr>
        <w:t>5. Старт этапа 1 — что нужно от GRC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Подтверждение отдельного US pipeline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Диспетчер на аварию ночью (SMS, эскалация)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AI Estimator: что работает, формат данных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Выбор CRM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US-сайт: приоритет production</w:t>
      </w:r>
    </w:p>
    <w:p>
      <w:pPr>
        <w:pStyle w:val="ListBullet"/>
      </w:pPr>
      <w:r>
        <w:rPr>
          <w:rFonts w:ascii="Calibri" w:hAnsi="Calibri"/>
          <w:color w:val="334155"/>
          <w:sz w:val="21"/>
        </w:rPr>
        <w:t>Single point of contact у клиента (для кабинета)</w:t>
      </w:r>
    </w:p>
    <w:p>
      <w:pPr>
        <w:pStyle w:val="Heading2"/>
      </w:pPr>
      <w:r>
        <w:rPr>
          <w:rFonts w:ascii="Calibri" w:hAnsi="Calibri"/>
          <w:color w:val="0F172A"/>
        </w:rPr>
        <w:t>6. Расходы GRC на инфраструктуру</w:t>
      </w:r>
    </w:p>
    <w:p>
      <w:pPr>
        <w:spacing w:after="160"/>
      </w:pPr>
      <w:r>
        <w:rPr>
          <w:rFonts w:ascii="Calibri" w:hAnsi="Calibri"/>
          <w:b w:val="0"/>
          <w:color w:val="334155"/>
          <w:sz w:val="20"/>
        </w:rPr>
        <w:t>Оплачиваются напрямую GRC со своих аккаунтов — отдельно от работ исполнителя.</w:t>
      </w:r>
    </w:p>
    <w:p>
      <w:pPr>
        <w:pStyle w:val="Heading3"/>
      </w:pPr>
      <w:r>
        <w:rPr>
          <w:rFonts w:ascii="Calibri" w:hAnsi="Calibri"/>
          <w:color w:val="B45309"/>
        </w:rPr>
        <w:t>6.1. Ежемесячно (ориентир на старте)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760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1728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USD/мес</w:t>
            </w:r>
          </w:p>
        </w:tc>
      </w:tr>
      <w:tr>
        <w:tc>
          <w:tcPr>
            <w:tcW w:type="dxa" w:w="5760"/>
            <w:shd w:fill="FFFFFF" w:val="clear"/>
          </w:tcPr>
          <w:p>
            <w:r>
              <w:rPr>
                <w:rFonts w:ascii="Calibri" w:hAnsi="Calibri"/>
                <w:sz w:val="20"/>
              </w:rPr>
              <w:t>Хостинг и публикация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20"/>
              </w:rPr>
              <w:t>~30</w:t>
            </w:r>
          </w:p>
        </w:tc>
      </w:tr>
      <w:tr>
        <w:tc>
          <w:tcPr>
            <w:tcW w:type="dxa" w:w="5760"/>
            <w:shd w:fill="F8FAFC" w:val="clear"/>
          </w:tcPr>
          <w:p>
            <w:r>
              <w:rPr>
                <w:rFonts w:ascii="Calibri" w:hAnsi="Calibri"/>
                <w:sz w:val="20"/>
              </w:rPr>
              <w:t>База данных, авторизация, файлы</w:t>
            </w:r>
          </w:p>
        </w:tc>
        <w:tc>
          <w:tcPr>
            <w:tcW w:type="dxa" w:w="1728"/>
            <w:shd w:fill="F8FAFC" w:val="clear"/>
          </w:tcPr>
          <w:p>
            <w:r>
              <w:rPr>
                <w:rFonts w:ascii="Calibri" w:hAnsi="Calibri"/>
                <w:sz w:val="20"/>
              </w:rPr>
              <w:t>~50</w:t>
            </w:r>
          </w:p>
        </w:tc>
      </w:tr>
      <w:tr>
        <w:tc>
          <w:tcPr>
            <w:tcW w:type="dxa" w:w="5760"/>
            <w:shd w:fill="FFFFFF" w:val="clear"/>
          </w:tcPr>
          <w:p>
            <w:r>
              <w:rPr>
                <w:rFonts w:ascii="Calibri" w:hAnsi="Calibri"/>
                <w:sz w:val="20"/>
              </w:rPr>
              <w:t>Платформа автоматизаций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20"/>
              </w:rPr>
              <w:t>~70</w:t>
            </w:r>
          </w:p>
        </w:tc>
      </w:tr>
      <w:tr>
        <w:tc>
          <w:tcPr>
            <w:tcW w:type="dxa" w:w="5760"/>
            <w:shd w:fill="F8FAFC" w:val="clear"/>
          </w:tcPr>
          <w:p>
            <w:r>
              <w:rPr>
                <w:rFonts w:ascii="Calibri" w:hAnsi="Calibri"/>
                <w:sz w:val="20"/>
              </w:rPr>
              <w:t>AI API</w:t>
            </w:r>
          </w:p>
        </w:tc>
        <w:tc>
          <w:tcPr>
            <w:tcW w:type="dxa" w:w="1728"/>
            <w:shd w:fill="F8FAFC" w:val="clear"/>
          </w:tcPr>
          <w:p>
            <w:r>
              <w:rPr>
                <w:rFonts w:ascii="Calibri" w:hAnsi="Calibri"/>
                <w:sz w:val="20"/>
              </w:rPr>
              <w:t>~200</w:t>
            </w:r>
          </w:p>
        </w:tc>
      </w:tr>
      <w:tr>
        <w:tc>
          <w:tcPr>
            <w:tcW w:type="dxa" w:w="5760"/>
            <w:shd w:fill="FFFFFF" w:val="clear"/>
          </w:tcPr>
          <w:p>
            <w:r>
              <w:rPr>
                <w:rFonts w:ascii="Calibri" w:hAnsi="Calibri"/>
                <w:sz w:val="20"/>
              </w:rPr>
              <w:t>Email / SMS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20"/>
              </w:rPr>
              <w:t>~100</w:t>
            </w:r>
          </w:p>
        </w:tc>
      </w:tr>
      <w:tr>
        <w:tc>
          <w:tcPr>
            <w:tcW w:type="dxa" w:w="5760"/>
            <w:shd w:fill="F8FAFC" w:val="clear"/>
          </w:tcPr>
          <w:p>
            <w:r>
              <w:rPr>
                <w:rFonts w:ascii="Calibri" w:hAnsi="Calibri"/>
                <w:sz w:val="20"/>
              </w:rPr>
              <w:t>CRM</w:t>
            </w:r>
          </w:p>
        </w:tc>
        <w:tc>
          <w:tcPr>
            <w:tcW w:type="dxa" w:w="1728"/>
            <w:shd w:fill="F8FAFC" w:val="clear"/>
          </w:tcPr>
          <w:p>
            <w:r>
              <w:rPr>
                <w:rFonts w:ascii="Calibri" w:hAnsi="Calibri"/>
                <w:sz w:val="20"/>
              </w:rPr>
              <w:t>~150</w:t>
            </w:r>
          </w:p>
        </w:tc>
      </w:tr>
      <w:tr>
        <w:tc>
          <w:tcPr>
            <w:tcW w:type="dxa" w:w="5760"/>
            <w:shd w:fill="FFFFFF" w:val="clear"/>
          </w:tcPr>
          <w:p>
            <w:r>
              <w:rPr>
                <w:rFonts w:ascii="Calibri" w:hAnsi="Calibri"/>
                <w:sz w:val="20"/>
              </w:rPr>
              <w:t>Домены и почта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20"/>
              </w:rPr>
              <w:t>~50</w:t>
            </w:r>
          </w:p>
        </w:tc>
      </w:tr>
      <w:tr>
        <w:tc>
          <w:tcPr>
            <w:tcW w:type="dxa" w:w="5760"/>
            <w:shd w:fill="F8FAFC" w:val="clear"/>
          </w:tcPr>
          <w:p>
            <w:r>
              <w:rPr>
                <w:rFonts w:ascii="Calibri" w:hAnsi="Calibri"/>
                <w:sz w:val="20"/>
              </w:rPr>
              <w:t>Итого ориентировочно</w:t>
            </w:r>
          </w:p>
        </w:tc>
        <w:tc>
          <w:tcPr>
            <w:tcW w:type="dxa" w:w="1728"/>
            <w:shd w:fill="F8FAFC" w:val="clear"/>
          </w:tcPr>
          <w:p>
            <w:r>
              <w:rPr>
                <w:rFonts w:ascii="Calibri" w:hAnsi="Calibri"/>
                <w:sz w:val="20"/>
              </w:rPr>
              <w:t>~650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color w:val="334155"/>
          <w:sz w:val="20"/>
        </w:rPr>
        <w:t>При рабочей нагрузке: ориентир ~1 500–2 500 / мес.</w:t>
      </w:r>
    </w:p>
    <w:p>
      <w:pPr>
        <w:pStyle w:val="Heading3"/>
      </w:pPr>
      <w:r>
        <w:rPr>
          <w:rFonts w:ascii="Calibri" w:hAnsi="Calibri"/>
          <w:color w:val="B45309"/>
        </w:rPr>
        <w:t>6.2. Разовый старт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760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Позиция</w:t>
            </w:r>
          </w:p>
        </w:tc>
        <w:tc>
          <w:tcPr>
            <w:tcW w:type="dxa" w:w="1728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USD</w:t>
            </w:r>
          </w:p>
        </w:tc>
      </w:tr>
      <w:tr>
        <w:tc>
          <w:tcPr>
            <w:tcW w:type="dxa" w:w="5760"/>
            <w:shd w:fill="FFFFFF" w:val="clear"/>
          </w:tcPr>
          <w:p>
            <w:r>
              <w:rPr>
                <w:rFonts w:ascii="Calibri" w:hAnsi="Calibri"/>
                <w:sz w:val="20"/>
              </w:rPr>
              <w:t>Домены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20"/>
              </w:rPr>
              <w:t>~100–200</w:t>
            </w:r>
          </w:p>
        </w:tc>
      </w:tr>
      <w:tr>
        <w:tc>
          <w:tcPr>
            <w:tcW w:type="dxa" w:w="5760"/>
            <w:shd w:fill="F8FAFC" w:val="clear"/>
          </w:tcPr>
          <w:p>
            <w:r>
              <w:rPr>
                <w:rFonts w:ascii="Calibri" w:hAnsi="Calibri"/>
                <w:sz w:val="20"/>
              </w:rPr>
              <w:t>Стартовые кредиты AI API</w:t>
            </w:r>
          </w:p>
        </w:tc>
        <w:tc>
          <w:tcPr>
            <w:tcW w:type="dxa" w:w="1728"/>
            <w:shd w:fill="F8FAFC" w:val="clear"/>
          </w:tcPr>
          <w:p>
            <w:r>
              <w:rPr>
                <w:rFonts w:ascii="Calibri" w:hAnsi="Calibri"/>
                <w:sz w:val="20"/>
              </w:rPr>
              <w:t>~300–500</w:t>
            </w:r>
          </w:p>
        </w:tc>
      </w:tr>
      <w:tr>
        <w:tc>
          <w:tcPr>
            <w:tcW w:type="dxa" w:w="5760"/>
            <w:shd w:fill="FFFFFF" w:val="clear"/>
          </w:tcPr>
          <w:p>
            <w:r>
              <w:rPr>
                <w:rFonts w:ascii="Calibri" w:hAnsi="Calibri"/>
                <w:sz w:val="20"/>
              </w:rPr>
              <w:t>Настройка email/SMS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20"/>
              </w:rPr>
              <w:t>~100–300</w:t>
            </w:r>
          </w:p>
        </w:tc>
      </w:tr>
      <w:tr>
        <w:tc>
          <w:tcPr>
            <w:tcW w:type="dxa" w:w="5760"/>
            <w:shd w:fill="F8FAFC" w:val="clear"/>
          </w:tcPr>
          <w:p>
            <w:r>
              <w:rPr>
                <w:rFonts w:ascii="Calibri" w:hAnsi="Calibri"/>
                <w:sz w:val="20"/>
              </w:rPr>
              <w:t>Итого ориентировочно</w:t>
            </w:r>
          </w:p>
        </w:tc>
        <w:tc>
          <w:tcPr>
            <w:tcW w:type="dxa" w:w="1728"/>
            <w:shd w:fill="F8FAFC" w:val="clear"/>
          </w:tcPr>
          <w:p>
            <w:r>
              <w:rPr>
                <w:rFonts w:ascii="Calibri" w:hAnsi="Calibri"/>
                <w:sz w:val="20"/>
              </w:rPr>
              <w:t>~500–1 000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0F172A"/>
        </w:rPr>
        <w:t>Приложение · Стоимость работ и оплата</w:t>
      </w:r>
    </w:p>
    <w:p>
      <w:pPr>
        <w:spacing w:after="200"/>
      </w:pPr>
      <w:r>
        <w:rPr>
          <w:rFonts w:ascii="Calibri" w:hAnsi="Calibri"/>
          <w:b w:val="0"/>
          <w:color w:val="334155"/>
          <w:sz w:val="20"/>
        </w:rPr>
        <w:t>Ниже — ориентиры по бюджету работ исполнителя. Детализация по этапам; оплата после приёмки каждого этапа по чеклисту. Можно начать только с этапа 1.</w:t>
      </w:r>
    </w:p>
    <w:p>
      <w:pPr>
        <w:pStyle w:val="Heading3"/>
      </w:pPr>
      <w:r>
        <w:rPr>
          <w:rFonts w:ascii="Calibri" w:hAnsi="Calibri"/>
          <w:color w:val="B45309"/>
        </w:rPr>
        <w:t>Стоимость по этапам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032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1584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1728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Стоимость работ</w:t>
            </w:r>
          </w:p>
        </w:tc>
      </w:tr>
      <w:tr>
        <w:tc>
          <w:tcPr>
            <w:tcW w:type="dxa" w:w="4032"/>
            <w:shd w:fill="FFFFFF" w:val="clear"/>
          </w:tcPr>
          <w:p>
            <w:r>
              <w:rPr>
                <w:rFonts w:ascii="Calibri" w:hAnsi="Calibri"/>
                <w:sz w:val="20"/>
              </w:rPr>
              <w:t>1 · Фундамент</w:t>
            </w:r>
          </w:p>
        </w:tc>
        <w:tc>
          <w:tcPr>
            <w:tcW w:type="dxa" w:w="1584"/>
            <w:shd w:fill="FFFFFF" w:val="clear"/>
          </w:tcPr>
          <w:p>
            <w:r>
              <w:rPr>
                <w:rFonts w:ascii="Calibri" w:hAnsi="Calibri"/>
                <w:sz w:val="20"/>
              </w:rPr>
              <w:t>6–10 нед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20"/>
              </w:rPr>
              <w:t>$13 000</w:t>
            </w:r>
          </w:p>
        </w:tc>
      </w:tr>
      <w:tr>
        <w:tc>
          <w:tcPr>
            <w:tcW w:type="dxa" w:w="4032"/>
            <w:shd w:fill="F8FAFC" w:val="clear"/>
          </w:tcPr>
          <w:p>
            <w:r>
              <w:rPr>
                <w:rFonts w:ascii="Calibri" w:hAnsi="Calibri"/>
                <w:sz w:val="20"/>
              </w:rPr>
              <w:t>2 · Видимость и выход</w:t>
            </w:r>
          </w:p>
        </w:tc>
        <w:tc>
          <w:tcPr>
            <w:tcW w:type="dxa" w:w="1584"/>
            <w:shd w:fill="F8FAFC" w:val="clear"/>
          </w:tcPr>
          <w:p>
            <w:r>
              <w:rPr>
                <w:rFonts w:ascii="Calibri" w:hAnsi="Calibri"/>
                <w:sz w:val="20"/>
              </w:rPr>
              <w:t>6–8 нед</w:t>
            </w:r>
          </w:p>
        </w:tc>
        <w:tc>
          <w:tcPr>
            <w:tcW w:type="dxa" w:w="1728"/>
            <w:shd w:fill="F8FAFC" w:val="clear"/>
          </w:tcPr>
          <w:p>
            <w:r>
              <w:rPr>
                <w:rFonts w:ascii="Calibri" w:hAnsi="Calibri"/>
                <w:sz w:val="20"/>
              </w:rPr>
              <w:t>$10 000</w:t>
            </w:r>
          </w:p>
        </w:tc>
      </w:tr>
      <w:tr>
        <w:tc>
          <w:tcPr>
            <w:tcW w:type="dxa" w:w="4032"/>
            <w:shd w:fill="FFFFFF" w:val="clear"/>
          </w:tcPr>
          <w:p>
            <w:r>
              <w:rPr>
                <w:rFonts w:ascii="Calibri" w:hAnsi="Calibri"/>
                <w:sz w:val="20"/>
              </w:rPr>
              <w:t>3 · Личный кабинет</w:t>
            </w:r>
          </w:p>
        </w:tc>
        <w:tc>
          <w:tcPr>
            <w:tcW w:type="dxa" w:w="1584"/>
            <w:shd w:fill="FFFFFF" w:val="clear"/>
          </w:tcPr>
          <w:p>
            <w:r>
              <w:rPr>
                <w:rFonts w:ascii="Calibri" w:hAnsi="Calibri"/>
                <w:sz w:val="20"/>
              </w:rPr>
              <w:t>4–6 нед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20"/>
              </w:rPr>
              <w:t>$9 000</w:t>
            </w:r>
          </w:p>
        </w:tc>
      </w:tr>
      <w:tr>
        <w:tc>
          <w:tcPr>
            <w:tcW w:type="dxa" w:w="4032"/>
            <w:shd w:fill="F8FAFC" w:val="clear"/>
          </w:tcPr>
          <w:p>
            <w:r>
              <w:rPr>
                <w:rFonts w:ascii="Calibri" w:hAnsi="Calibri"/>
                <w:sz w:val="20"/>
              </w:rPr>
              <w:t>4 · Масштаб и повтор</w:t>
            </w:r>
          </w:p>
        </w:tc>
        <w:tc>
          <w:tcPr>
            <w:tcW w:type="dxa" w:w="1584"/>
            <w:shd w:fill="F8FAFC" w:val="clear"/>
          </w:tcPr>
          <w:p>
            <w:r>
              <w:rPr>
                <w:rFonts w:ascii="Calibri" w:hAnsi="Calibri"/>
                <w:sz w:val="20"/>
              </w:rPr>
              <w:t>8–10 нед</w:t>
            </w:r>
          </w:p>
        </w:tc>
        <w:tc>
          <w:tcPr>
            <w:tcW w:type="dxa" w:w="1728"/>
            <w:shd w:fill="F8FAFC" w:val="clear"/>
          </w:tcPr>
          <w:p>
            <w:r>
              <w:rPr>
                <w:rFonts w:ascii="Calibri" w:hAnsi="Calibri"/>
                <w:sz w:val="20"/>
              </w:rPr>
              <w:t>$11 000</w:t>
            </w:r>
          </w:p>
        </w:tc>
      </w:tr>
    </w:tbl>
    <w:p>
      <w:pPr>
        <w:spacing w:before="160"/>
      </w:pPr>
      <w:r>
        <w:rPr>
          <w:color w:val="334155"/>
          <w:sz w:val="22"/>
        </w:rPr>
        <w:t xml:space="preserve">Итого по программе (4 этапа): </w:t>
      </w:r>
      <w:r>
        <w:rPr>
          <w:b/>
          <w:color w:val="0F172A"/>
          <w:sz w:val="26"/>
        </w:rPr>
        <w:t>$43 000</w:t>
      </w:r>
    </w:p>
    <w:p>
      <w:pPr>
        <w:spacing w:after="240"/>
      </w:pPr>
      <w:r>
        <w:rPr>
          <w:rFonts w:ascii="Calibri" w:hAnsi="Calibri"/>
          <w:b w:val="0"/>
          <w:color w:val="334155"/>
          <w:sz w:val="18"/>
        </w:rPr>
        <w:t>Срок программы: ~7–9 месяцев по календарю; на встрече — ориентир ~6 месяцев, полный контур до ~8 месяцев. Входной вариант: только этап 1 — $13 000.</w:t>
      </w:r>
    </w:p>
    <w:p>
      <w:pPr>
        <w:pStyle w:val="Heading3"/>
      </w:pPr>
      <w:r>
        <w:rPr>
          <w:rFonts w:ascii="Calibri" w:hAnsi="Calibri"/>
          <w:color w:val="B45309"/>
        </w:rPr>
        <w:t>Схема оплаты</w:t>
      </w:r>
    </w:p>
    <w:p>
      <w:pPr>
        <w:spacing w:after="120"/>
      </w:pPr>
      <w:r>
        <w:rPr>
          <w:rFonts w:ascii="Calibri" w:hAnsi="Calibri"/>
          <w:b w:val="0"/>
          <w:color w:val="334155"/>
          <w:sz w:val="20"/>
        </w:rPr>
        <w:t>По каждому этапу: 50% на старт, 50% после приёмки.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792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1656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Старт (50%)</w:t>
            </w:r>
          </w:p>
        </w:tc>
        <w:tc>
          <w:tcPr>
            <w:tcW w:type="dxa" w:w="1656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Приёмка (50%)</w:t>
            </w:r>
          </w:p>
        </w:tc>
        <w:tc>
          <w:tcPr>
            <w:tcW w:type="dxa" w:w="1440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Итого</w:t>
            </w:r>
          </w:p>
        </w:tc>
      </w:tr>
      <w:tr>
        <w:tc>
          <w:tcPr>
            <w:tcW w:type="dxa" w:w="792"/>
            <w:shd w:fill="FFFFFF" w:val="clear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656"/>
            <w:shd w:fill="FFFFFF" w:val="clear"/>
          </w:tcPr>
          <w:p>
            <w:r>
              <w:rPr>
                <w:rFonts w:ascii="Calibri" w:hAnsi="Calibri"/>
                <w:sz w:val="20"/>
              </w:rPr>
              <w:t>$6 500</w:t>
            </w:r>
          </w:p>
        </w:tc>
        <w:tc>
          <w:tcPr>
            <w:tcW w:type="dxa" w:w="1656"/>
            <w:shd w:fill="FFFFFF" w:val="clear"/>
          </w:tcPr>
          <w:p>
            <w:r>
              <w:rPr>
                <w:rFonts w:ascii="Calibri" w:hAnsi="Calibri"/>
                <w:sz w:val="20"/>
              </w:rPr>
              <w:t>$6 500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rFonts w:ascii="Calibri" w:hAnsi="Calibri"/>
                <w:sz w:val="20"/>
              </w:rPr>
              <w:t>$13 000</w:t>
            </w:r>
          </w:p>
        </w:tc>
      </w:tr>
      <w:tr>
        <w:tc>
          <w:tcPr>
            <w:tcW w:type="dxa" w:w="792"/>
            <w:shd w:fill="F8FAFC" w:val="clear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656"/>
            <w:shd w:fill="F8FAFC" w:val="clear"/>
          </w:tcPr>
          <w:p>
            <w:r>
              <w:rPr>
                <w:rFonts w:ascii="Calibri" w:hAnsi="Calibri"/>
                <w:sz w:val="20"/>
              </w:rPr>
              <w:t>$5 000</w:t>
            </w:r>
          </w:p>
        </w:tc>
        <w:tc>
          <w:tcPr>
            <w:tcW w:type="dxa" w:w="1656"/>
            <w:shd w:fill="F8FAFC" w:val="clear"/>
          </w:tcPr>
          <w:p>
            <w:r>
              <w:rPr>
                <w:rFonts w:ascii="Calibri" w:hAnsi="Calibri"/>
                <w:sz w:val="20"/>
              </w:rPr>
              <w:t>$5 000</w:t>
            </w:r>
          </w:p>
        </w:tc>
        <w:tc>
          <w:tcPr>
            <w:tcW w:type="dxa" w:w="1440"/>
            <w:shd w:fill="F8FAFC" w:val="clear"/>
          </w:tcPr>
          <w:p>
            <w:r>
              <w:rPr>
                <w:rFonts w:ascii="Calibri" w:hAnsi="Calibri"/>
                <w:sz w:val="20"/>
              </w:rPr>
              <w:t>$10 000</w:t>
            </w:r>
          </w:p>
        </w:tc>
      </w:tr>
      <w:tr>
        <w:tc>
          <w:tcPr>
            <w:tcW w:type="dxa" w:w="792"/>
            <w:shd w:fill="FFFFFF" w:val="clear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656"/>
            <w:shd w:fill="FFFFFF" w:val="clear"/>
          </w:tcPr>
          <w:p>
            <w:r>
              <w:rPr>
                <w:rFonts w:ascii="Calibri" w:hAnsi="Calibri"/>
                <w:sz w:val="20"/>
              </w:rPr>
              <w:t>$4 500</w:t>
            </w:r>
          </w:p>
        </w:tc>
        <w:tc>
          <w:tcPr>
            <w:tcW w:type="dxa" w:w="1656"/>
            <w:shd w:fill="FFFFFF" w:val="clear"/>
          </w:tcPr>
          <w:p>
            <w:r>
              <w:rPr>
                <w:rFonts w:ascii="Calibri" w:hAnsi="Calibri"/>
                <w:sz w:val="20"/>
              </w:rPr>
              <w:t>$4 500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rFonts w:ascii="Calibri" w:hAnsi="Calibri"/>
                <w:sz w:val="20"/>
              </w:rPr>
              <w:t>$9 000</w:t>
            </w:r>
          </w:p>
        </w:tc>
      </w:tr>
      <w:tr>
        <w:tc>
          <w:tcPr>
            <w:tcW w:type="dxa" w:w="792"/>
            <w:shd w:fill="F8FAFC" w:val="clear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656"/>
            <w:shd w:fill="F8FAFC" w:val="clear"/>
          </w:tcPr>
          <w:p>
            <w:r>
              <w:rPr>
                <w:rFonts w:ascii="Calibri" w:hAnsi="Calibri"/>
                <w:sz w:val="20"/>
              </w:rPr>
              <w:t>$5 500</w:t>
            </w:r>
          </w:p>
        </w:tc>
        <w:tc>
          <w:tcPr>
            <w:tcW w:type="dxa" w:w="1656"/>
            <w:shd w:fill="F8FAFC" w:val="clear"/>
          </w:tcPr>
          <w:p>
            <w:r>
              <w:rPr>
                <w:rFonts w:ascii="Calibri" w:hAnsi="Calibri"/>
                <w:sz w:val="20"/>
              </w:rPr>
              <w:t>$5 500</w:t>
            </w:r>
          </w:p>
        </w:tc>
        <w:tc>
          <w:tcPr>
            <w:tcW w:type="dxa" w:w="1440"/>
            <w:shd w:fill="F8FAFC" w:val="clear"/>
          </w:tcPr>
          <w:p>
            <w:r>
              <w:rPr>
                <w:rFonts w:ascii="Calibri" w:hAnsi="Calibri"/>
                <w:sz w:val="20"/>
              </w:rPr>
              <w:t>$11 000</w:t>
            </w:r>
          </w:p>
        </w:tc>
      </w:tr>
      <w:tr>
        <w:tc>
          <w:tcPr>
            <w:tcW w:type="dxa" w:w="792"/>
            <w:shd w:fill="FFFFFF" w:val="clear"/>
          </w:tcPr>
          <w:p>
            <w:r>
              <w:rPr>
                <w:rFonts w:ascii="Calibri" w:hAnsi="Calibri"/>
                <w:sz w:val="20"/>
              </w:rPr>
              <w:t>Всего</w:t>
            </w:r>
          </w:p>
        </w:tc>
        <w:tc>
          <w:tcPr>
            <w:tcW w:type="dxa" w:w="1656"/>
            <w:shd w:fill="FFFFFF" w:val="clear"/>
          </w:tcPr>
          <w:p>
            <w:r>
              <w:rPr>
                <w:rFonts w:ascii="Calibri" w:hAnsi="Calibri"/>
                <w:sz w:val="20"/>
              </w:rPr>
              <w:t>$21 500</w:t>
            </w:r>
          </w:p>
        </w:tc>
        <w:tc>
          <w:tcPr>
            <w:tcW w:type="dxa" w:w="1656"/>
            <w:shd w:fill="FFFFFF" w:val="clear"/>
          </w:tcPr>
          <w:p>
            <w:r>
              <w:rPr>
                <w:rFonts w:ascii="Calibri" w:hAnsi="Calibri"/>
                <w:sz w:val="20"/>
              </w:rPr>
              <w:t>$21 500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rFonts w:ascii="Calibri" w:hAnsi="Calibri"/>
                <w:sz w:val="20"/>
              </w:rPr>
              <w:t>$43 000</w:t>
            </w:r>
          </w:p>
        </w:tc>
      </w:tr>
    </w:tbl>
    <w:p>
      <w:pPr>
        <w:pStyle w:val="Heading3"/>
      </w:pPr>
      <w:r>
        <w:rPr>
          <w:rFonts w:ascii="Calibri" w:hAnsi="Calibri"/>
          <w:color w:val="B45309"/>
        </w:rPr>
        <w:t>Поддержка после запуска (опционально)</w:t>
      </w:r>
    </w:p>
    <w:p>
      <w:pPr>
        <w:spacing w:after="160"/>
      </w:pPr>
      <w:r>
        <w:rPr>
          <w:rFonts w:ascii="Calibri" w:hAnsi="Calibri"/>
          <w:b w:val="0"/>
          <w:color w:val="334155"/>
          <w:sz w:val="20"/>
        </w:rPr>
        <w:t>Базовый пакет — ориентир ~$1 500/мес: мониторинг, мелкие правки сценариев, настройка AI, до 5 часов доработок, ежемесячный обзор.</w:t>
      </w:r>
    </w:p>
    <w:p>
      <w:pPr>
        <w:spacing w:after="240"/>
      </w:pPr>
      <w:r>
        <w:rPr>
          <w:rFonts w:ascii="Calibri" w:hAnsi="Calibri"/>
          <w:b w:val="0"/>
          <w:color w:val="334155"/>
          <w:sz w:val="20"/>
        </w:rPr>
        <w:t>Расширенный — ориентир ~$3 000/мес: до 20 часов улучшений, приоритетная поддержка. Отдельное соглашение; крупные новые модули — отдельный этап.</w:t>
      </w:r>
    </w:p>
    <w:p>
      <w:pPr>
        <w:pStyle w:val="Heading3"/>
      </w:pPr>
      <w:r>
        <w:rPr>
          <w:rFonts w:ascii="Calibri" w:hAnsi="Calibri"/>
          <w:color w:val="B45309"/>
        </w:rPr>
        <w:t>Сводка бюджетов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608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Статья</w:t>
            </w:r>
          </w:p>
        </w:tc>
        <w:tc>
          <w:tcPr>
            <w:tcW w:type="dxa" w:w="2880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Ориентир</w:t>
            </w:r>
          </w:p>
        </w:tc>
      </w:tr>
      <w:tr>
        <w:tc>
          <w:tcPr>
            <w:tcW w:type="dxa" w:w="4608"/>
            <w:shd w:fill="FFFFFF" w:val="clear"/>
          </w:tcPr>
          <w:p>
            <w:r>
              <w:rPr>
                <w:rFonts w:ascii="Calibri" w:hAnsi="Calibri"/>
                <w:sz w:val="20"/>
              </w:rPr>
              <w:t>Работы исполнителя (программа)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20"/>
              </w:rPr>
              <w:t>$43 000</w:t>
            </w:r>
          </w:p>
        </w:tc>
      </w:tr>
      <w:tr>
        <w:tc>
          <w:tcPr>
            <w:tcW w:type="dxa" w:w="4608"/>
            <w:shd w:fill="F8FAFC" w:val="clear"/>
          </w:tcPr>
          <w:p>
            <w:r>
              <w:rPr>
                <w:rFonts w:ascii="Calibri" w:hAnsi="Calibri"/>
                <w:sz w:val="20"/>
              </w:rPr>
              <w:t>Инфраструктура GRC, разово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Calibri" w:hAnsi="Calibri"/>
                <w:sz w:val="20"/>
              </w:rPr>
              <w:t>~$500–1 000</w:t>
            </w:r>
          </w:p>
        </w:tc>
      </w:tr>
      <w:tr>
        <w:tc>
          <w:tcPr>
            <w:tcW w:type="dxa" w:w="4608"/>
            <w:shd w:fill="FFFFFF" w:val="clear"/>
          </w:tcPr>
          <w:p>
            <w:r>
              <w:rPr>
                <w:rFonts w:ascii="Calibri" w:hAnsi="Calibri"/>
                <w:sz w:val="20"/>
              </w:rPr>
              <w:t>Инфраструктура GRC, ежемесячно (старт)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20"/>
              </w:rPr>
              <w:t>~$650 / мес</w:t>
            </w:r>
          </w:p>
        </w:tc>
      </w:tr>
      <w:tr>
        <w:tc>
          <w:tcPr>
            <w:tcW w:type="dxa" w:w="4608"/>
            <w:shd w:fill="F8FAFC" w:val="clear"/>
          </w:tcPr>
          <w:p>
            <w:r>
              <w:rPr>
                <w:rFonts w:ascii="Calibri" w:hAnsi="Calibri"/>
                <w:sz w:val="20"/>
              </w:rPr>
              <w:t>Инфраструктура GRC, при нагрузке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Calibri" w:hAnsi="Calibri"/>
                <w:sz w:val="20"/>
              </w:rPr>
              <w:t>~$1 500–2 500 / мес</w:t>
            </w:r>
          </w:p>
        </w:tc>
      </w:tr>
      <w:tr>
        <w:tc>
          <w:tcPr>
            <w:tcW w:type="dxa" w:w="4608"/>
            <w:shd w:fill="FFFFFF" w:val="clear"/>
          </w:tcPr>
          <w:p>
            <w:r>
              <w:rPr>
                <w:rFonts w:ascii="Calibri" w:hAnsi="Calibri"/>
                <w:sz w:val="20"/>
              </w:rPr>
              <w:t>Поддержка (если нужна)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20"/>
              </w:rPr>
              <w:t>~$1 500 или ~$3 000 / мес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F172A"/>
        </w:rPr>
        <w:t>Контакты исполнителя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5760"/>
            <w:shd w:fill="0F172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20"/>
              </w:rPr>
              <w:t>Имя</w:t>
            </w:r>
          </w:p>
        </w:tc>
        <w:tc>
          <w:tcPr>
            <w:tcW w:type="dxa" w:w="5760"/>
            <w:shd w:fill="FFFFFF" w:val="clear"/>
          </w:tcPr>
          <w:p>
            <w:r>
              <w:rPr>
                <w:rFonts w:ascii="Calibri" w:hAnsi="Calibri"/>
                <w:sz w:val="20"/>
              </w:rPr>
              <w:t>Andrei Zobnin</w:t>
            </w:r>
          </w:p>
        </w:tc>
      </w:tr>
      <w:tr>
        <w:tc>
          <w:tcPr>
            <w:tcW w:type="dxa" w:w="2160"/>
            <w:shd w:fill="F8FAFC" w:val="clear"/>
          </w:tcPr>
          <w:p>
            <w:r>
              <w:rPr>
                <w:rFonts w:ascii="Calibri" w:hAnsi="Calibri"/>
                <w:sz w:val="20"/>
              </w:rPr>
              <w:t>Роль</w:t>
            </w:r>
          </w:p>
        </w:tc>
        <w:tc>
          <w:tcPr>
            <w:tcW w:type="dxa" w:w="5760"/>
            <w:shd w:fill="F8FAFC" w:val="clear"/>
          </w:tcPr>
          <w:p>
            <w:r>
              <w:rPr>
                <w:rFonts w:ascii="Calibri" w:hAnsi="Calibri"/>
                <w:sz w:val="20"/>
              </w:rPr>
              <w:t>Архитектор системы · GRC → US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5760"/>
            <w:shd w:fill="FFFFFF" w:val="clear"/>
          </w:tcPr>
          <w:p>
            <w:r>
              <w:rPr>
                <w:rFonts w:ascii="Calibri" w:hAnsi="Calibri"/>
                <w:sz w:val="20"/>
              </w:rPr>
              <w:t>zobnin8@gmail.com</w:t>
            </w:r>
          </w:p>
        </w:tc>
      </w:tr>
      <w:tr>
        <w:tc>
          <w:tcPr>
            <w:tcW w:type="dxa" w:w="2160"/>
            <w:shd w:fill="F8FAFC" w:val="clear"/>
          </w:tcPr>
          <w:p>
            <w:r>
              <w:rPr>
                <w:rFonts w:ascii="Calibri" w:hAnsi="Calibri"/>
                <w:sz w:val="20"/>
              </w:rPr>
              <w:t>Telegram</w:t>
            </w:r>
          </w:p>
        </w:tc>
        <w:tc>
          <w:tcPr>
            <w:tcW w:type="dxa" w:w="5760"/>
            <w:shd w:fill="F8FAFC" w:val="clear"/>
          </w:tcPr>
          <w:p>
            <w:r>
              <w:rPr>
                <w:rFonts w:ascii="Calibri" w:hAnsi="Calibri"/>
                <w:sz w:val="20"/>
              </w:rPr>
              <w:t>@A_nubi_ss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20"/>
              </w:rPr>
              <w:t>Сайт</w:t>
            </w:r>
          </w:p>
        </w:tc>
        <w:tc>
          <w:tcPr>
            <w:tcW w:type="dxa" w:w="5760"/>
            <w:shd w:fill="FFFFFF" w:val="clear"/>
          </w:tcPr>
          <w:p>
            <w:r>
              <w:rPr>
                <w:rFonts w:ascii="Calibri" w:hAnsi="Calibri"/>
                <w:sz w:val="20"/>
              </w:rPr>
              <w:t>https://www.zobnin.tech/</w:t>
            </w:r>
          </w:p>
        </w:tc>
      </w:tr>
    </w:tbl>
    <w:p>
      <w:pPr>
        <w:jc w:val="center"/>
      </w:pPr>
      <w:r>
        <w:rPr>
          <w:i/>
          <w:color w:val="94A3B8"/>
          <w:sz w:val="18"/>
        </w:rPr>
        <w:t>Документ 2026-05-26 · Согласован с pitch-презентацией GRC → US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