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Peptis Body Recomposition</w:t>
      </w:r>
    </w:p>
    <w:p>
      <w:pPr>
        <w:spacing w:after="240"/>
      </w:pPr>
      <w:r>
        <w:rPr>
          <w:rFonts w:ascii="Arial" w:hAnsi="Arial"/>
          <w:color w:val="434343"/>
          <w:sz w:val="28"/>
        </w:rPr>
        <w:t>GLP-1 evidence dossier, landing-page statistics, claim framework and SEO research roadmap</w:t>
      </w:r>
    </w:p>
    <w:p>
      <w:pPr>
        <w:pStyle w:val="SourceNote"/>
      </w:pPr>
      <w:r>
        <w:rPr>
          <w:i w:val="0"/>
        </w:rPr>
        <w:t>Prepared for Peptis • United States market • Evidence reviewed through 21 August 2026</w:t>
      </w:r>
    </w:p>
    <w:p>
      <w:r>
        <w:rPr>
          <w:i/>
        </w:rPr>
        <w:t>Purpose: an internal scientific and content-strategy resource. This is not medical advice, a prescribing protocol, a legal opinion, or substantiation for any specific finished product. Medication decisions belong with a licensed clinician. All public-facing claims require final medical, regulatory and legal review.</w:t>
      </w:r>
    </w:p>
    <w:p>
      <w:pPr>
        <w:pStyle w:val="Heading1"/>
      </w:pPr>
      <w:r>
        <w:t>Executive thesis</w:t>
      </w:r>
    </w:p>
    <w:p>
      <w:r>
        <w:rPr>
          <w:i w:val="0"/>
        </w:rPr>
        <w:t>GLP-1 and dual GIP/GLP-1 medicines have changed obesity care because they can deliver clinically meaningful weight loss and, in selected populations, reduce cardiovascular events, improve heart-failure symptoms, slow kidney disease, improve sleep apnea and sharply reduce progression from prediabetes to diabetes. Those benefits are real and should not be minimized. [1-8]</w:t>
      </w:r>
    </w:p>
    <w:p>
      <w:r>
        <w:rPr>
          <w:i w:val="0"/>
        </w:rPr>
        <w:t>The unresolved consumer problem is the quality and durability of that weight loss. Absolute lean mass usually falls when body weight falls, although fat mass generally falls more and the proportion of lean mass often improves. DEXA “lean mass” is not synonymous with skeletal muscle: it also includes water, organs and other fat-free tissues. Existing evidence therefore supports concern and monitoring, especially in older, frail, sedentary or undernourished people, but it does not justify the blanket claim that GLP-1 medicines “eat muscle.” [11-16]</w:t>
      </w:r>
    </w:p>
    <w:p>
      <w:r>
        <w:rPr>
          <w:i w:val="0"/>
        </w:rPr>
        <w:t>Skin laxity and facial hollowing are similarly easy to overstate. Major or rapid weight loss reduces subcutaneous fat volume; age, prior obesity, collagen and elastin damage, smoking, sun exposure, genetics and the amount and speed of loss influence how well skin retracts. There is not strong evidence that approved GLP-1 medicines directly poison skin collagen. “Ozempic face” is a media label, not a diagnosis. [32-36]</w:t>
      </w:r>
    </w:p>
    <w:p>
      <w:r>
        <w:rPr>
          <w:i w:val="0"/>
        </w:rPr>
        <w:t>Peptis should own the territory between the scale and the mirror: preserve strength, make protein achievable when appetite is low, support progressive resistance training, monitor function, build a maintenance plan and communicate honestly about skin. The defensible promise is a system for better body-recomposition habits—not a supplement that treats medication side effects or guarantees muscle preservation.</w:t>
      </w:r>
    </w:p>
    <w:p>
      <w:pPr>
        <w:pStyle w:val="Heading2"/>
      </w:pPr>
      <w:r>
        <w:t>The six conclusions to build the landing page around</w:t>
      </w:r>
    </w:p>
    <w:p>
      <w:pPr>
        <w:pStyle w:val="ListBullet"/>
      </w:pPr>
      <w:r>
        <w:t>Weight loss is not the same as fat loss. A better outcome preserves strength, function and a higher share of lean tissue while reducing excess fat.</w:t>
      </w:r>
    </w:p>
    <w:p>
      <w:pPr>
        <w:pStyle w:val="ListBullet"/>
      </w:pPr>
      <w:r>
        <w:t>Lean mass can fall during substantial weight loss, including GLP-1-assisted weight loss, but the measured decline is not all skeletal muscle and is usually smaller than fat loss.</w:t>
      </w:r>
    </w:p>
    <w:p>
      <w:pPr>
        <w:pStyle w:val="ListBullet"/>
      </w:pPr>
      <w:r>
        <w:t>Low appetite is both the mechanism and the nutritional challenge: less energy intake can make protein, fluids, fiber and micronutrients harder to obtain.</w:t>
      </w:r>
    </w:p>
    <w:p>
      <w:pPr>
        <w:pStyle w:val="ListBullet"/>
      </w:pPr>
      <w:r>
        <w:t>Resistance training is the highest-confidence behavioral intervention for preserving lean tissue and strength during weight loss; protein supports it but does not replace it.</w:t>
      </w:r>
    </w:p>
    <w:p>
      <w:pPr>
        <w:pStyle w:val="ListBullet"/>
      </w:pPr>
      <w:r>
        <w:t>Loose skin is driven mainly by the amount and pace of tissue-volume loss plus baseline skin quality. Exercise can improve the underlying contour but cannot remove substantial excess skin.</w:t>
      </w:r>
    </w:p>
    <w:p>
      <w:pPr>
        <w:pStyle w:val="ListBullet"/>
      </w:pPr>
      <w:r>
        <w:t>Maintenance must begin on day one. Withdrawal trials show significant regain when pharmacotherapy stops, which makes habit formation, strength and monitoring commercially and clinically relevant.</w:t>
      </w:r>
    </w:p>
    <w:p>
      <w:pPr>
        <w:pStyle w:val="Heading1"/>
      </w:pPr>
      <w:r>
        <w:t>Contents</w:t>
      </w:r>
    </w:p>
    <w:p>
      <w:pPr>
        <w:pStyle w:val="ListBullet"/>
      </w:pPr>
      <w:r>
        <w:t>1. Market and clinical context</w:t>
      </w:r>
    </w:p>
    <w:p>
      <w:pPr>
        <w:pStyle w:val="ListBullet"/>
      </w:pPr>
      <w:r>
        <w:t>2. What GLP-1 therapy demonstrably does well</w:t>
      </w:r>
    </w:p>
    <w:p>
      <w:pPr>
        <w:pStyle w:val="ListBullet"/>
      </w:pPr>
      <w:r>
        <w:t>3. Problem taxonomy: why body-recomposition support is needed</w:t>
      </w:r>
    </w:p>
    <w:p>
      <w:pPr>
        <w:pStyle w:val="ListBullet"/>
      </w:pPr>
      <w:r>
        <w:t>4. Solution architecture for Peptis</w:t>
      </w:r>
    </w:p>
    <w:p>
      <w:pPr>
        <w:pStyle w:val="ListBullet"/>
      </w:pPr>
      <w:r>
        <w:t>5. Landing-page statistic library</w:t>
      </w:r>
    </w:p>
    <w:p>
      <w:pPr>
        <w:pStyle w:val="ListBullet"/>
      </w:pPr>
      <w:r>
        <w:t>6. Claims and compliance framework</w:t>
      </w:r>
    </w:p>
    <w:p>
      <w:pPr>
        <w:pStyle w:val="ListBullet"/>
      </w:pPr>
      <w:r>
        <w:t>7. SEO content clusters and article roadmap</w:t>
      </w:r>
    </w:p>
    <w:p>
      <w:pPr>
        <w:pStyle w:val="ListBullet"/>
      </w:pPr>
      <w:r>
        <w:t>8. Priority article briefs</w:t>
      </w:r>
    </w:p>
    <w:p>
      <w:pPr>
        <w:pStyle w:val="ListBullet"/>
      </w:pPr>
      <w:r>
        <w:t>9. Evidence gaps and product R&amp;D priorities</w:t>
      </w:r>
    </w:p>
    <w:p>
      <w:pPr>
        <w:pStyle w:val="ListBullet"/>
      </w:pPr>
      <w:r>
        <w:t>Appendix A. Study digest</w:t>
      </w:r>
    </w:p>
    <w:p>
      <w:pPr>
        <w:pStyle w:val="ListBullet"/>
      </w:pPr>
      <w:r>
        <w:t>Appendix B. Source library</w:t>
      </w:r>
    </w:p>
    <w:p>
      <w:r>
        <w:br w:type="page"/>
      </w:r>
    </w:p>
    <w:p>
      <w:pPr>
        <w:pStyle w:val="Heading1"/>
      </w:pPr>
      <w:r>
        <w:t>1. Market and clinical context</w:t>
      </w:r>
    </w:p>
    <w:p>
      <w:pPr>
        <w:pStyle w:val="Heading2"/>
      </w:pPr>
      <w:r>
        <w:t>1.1 The addressable need is already mainstream</w:t>
      </w:r>
    </w:p>
    <w:p>
      <w:r>
        <w:rPr>
          <w:i w:val="0"/>
        </w:rPr>
        <w:t>CDC/NCHS estimates that 40.3% of U.S. adults had obesity during August 2021-August 2023, while 72.4% had overweight including obesity. Prevalence peaked at 46.4% among adults aged 40-59—the same life stage in which people begin to notice declining muscle, slower recovery and reduced skin elasticity. [40]</w:t>
      </w:r>
    </w:p>
    <w:p>
      <w:r>
        <w:rPr>
          <w:i w:val="0"/>
        </w:rPr>
        <w:t>Use of GLP-1 medicines is no longer niche. A March 2026 KFF tracking summary reported that 18% of U.S. adults had ever taken a GLP-1 medicine and 12% were current users, double the 6% current-use figure reported in May 2024. Survey estimates are self-reported and should be labeled as polling, not prescription-claims data. [41]</w:t>
      </w:r>
    </w:p>
    <w:p>
      <w:r>
        <w:rPr>
          <w:i w:val="0"/>
        </w:rPr>
        <w:t>This creates a large and heterogeneous audience: people with type 2 diabetes; people receiving chronic weight-management treatment; people using a dual agonist such as tirzepatide; people who stopped treatment; and people merely considering treatment. Peptis should not treat these groups as interchangeable. Their nutritional risk, expected rate of loss, comorbidities, medication safety needs and legal messaging differ.</w:t>
      </w:r>
    </w:p>
    <w:p>
      <w:pPr>
        <w:pStyle w:val="Heading2"/>
      </w:pPr>
      <w:r>
        <w:t>1.2 The “body recomposition” gap</w:t>
      </w:r>
    </w:p>
    <w:p>
      <w:r>
        <w:rPr>
          <w:i w:val="0"/>
        </w:rPr>
        <w:t>Most obesity-drug marketing is optimized around pounds or percentage weight lost. Most sports-nutrition marketing is optimized around already-active consumers who tolerate large shakes and gym-centric language. The gap is a practical system for people with lower appetite, lower training confidence and a desire to look and function better after losing weight. That system can include food-first planning, convenient complete protein, resistance training, creatine where appropriate, symptom-aware routines and progress measures beyond scale weight.</w:t>
      </w:r>
    </w:p>
    <w:p>
      <w:r>
        <w:rPr>
          <w:i w:val="0"/>
        </w:rPr>
        <w:t>The commercial insight is that the concern should not be exaggerated. Fear-heavy “GLP-1 causes muscle wasting” copy may increase clicks but weakens trust, overstates causality and creates regulatory risk. Peptis can be more distinctive by explaining the measurement problem and then giving the user a clear action plan.</w:t>
      </w:r>
    </w:p>
    <w:p>
      <w:pPr>
        <w:pStyle w:val="Heading2"/>
      </w:pPr>
      <w:r>
        <w:t>1.3 Definitions that must remain precise</w:t>
      </w:r>
    </w:p>
    <w:tbl>
      <w:tblPr>
        <w:tblStyle w:val="TableGrid"/>
        <w:tblW w:type="dxa" w:w="936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900"/>
        <w:gridCol w:w="7460"/>
      </w:tblGrid>
      <w:tr>
        <w:trPr>
          <w:tblHeader w:val="true"/>
        </w:trPr>
        <w:tc>
          <w:tcPr>
            <w:tcW w:type="dxa" w:w="1900"/>
            <w:vAlign w:val="center"/>
            <w:tcMar>
              <w:top w:w="80" w:type="dxa"/>
              <w:start w:w="120" w:type="dxa"/>
              <w:bottom w:w="80" w:type="dxa"/>
              <w:end w:w="120" w:type="dxa"/>
            </w:tcMar>
          </w:tcPr>
          <w:p>
            <w:r>
              <w:rPr>
                <w:rFonts w:ascii="Arial" w:hAnsi="Arial"/>
                <w:b/>
                <w:sz w:val="18"/>
              </w:rPr>
              <w:t>Term</w:t>
            </w:r>
          </w:p>
        </w:tc>
        <w:tc>
          <w:tcPr>
            <w:tcW w:type="dxa" w:w="7460"/>
            <w:vAlign w:val="center"/>
            <w:tcMar>
              <w:top w:w="80" w:type="dxa"/>
              <w:start w:w="120" w:type="dxa"/>
              <w:bottom w:w="80" w:type="dxa"/>
              <w:end w:w="120" w:type="dxa"/>
            </w:tcMar>
          </w:tcPr>
          <w:p>
            <w:r>
              <w:rPr>
                <w:rFonts w:ascii="Arial" w:hAnsi="Arial"/>
                <w:b/>
                <w:sz w:val="18"/>
              </w:rPr>
              <w:t>Operational meaning for Peptis</w:t>
            </w:r>
          </w:p>
        </w:tc>
      </w:tr>
      <w:tr>
        <w:tc>
          <w:tcPr>
            <w:tcW w:type="dxa" w:w="1900"/>
            <w:vAlign w:val="center"/>
            <w:tcMar>
              <w:top w:w="80" w:type="dxa"/>
              <w:start w:w="120" w:type="dxa"/>
              <w:bottom w:w="80" w:type="dxa"/>
              <w:end w:w="120" w:type="dxa"/>
            </w:tcMar>
          </w:tcPr>
          <w:p>
            <w:pPr>
              <w:spacing w:after="0" w:line="252" w:lineRule="auto"/>
            </w:pPr>
            <w:r>
              <w:rPr>
                <w:rFonts w:ascii="Arial" w:hAnsi="Arial"/>
                <w:sz w:val="17"/>
              </w:rPr>
              <w:t>Fat mass</w:t>
            </w:r>
          </w:p>
        </w:tc>
        <w:tc>
          <w:tcPr>
            <w:tcW w:type="dxa" w:w="7460"/>
            <w:vAlign w:val="center"/>
            <w:tcMar>
              <w:top w:w="80" w:type="dxa"/>
              <w:start w:w="120" w:type="dxa"/>
              <w:bottom w:w="80" w:type="dxa"/>
              <w:end w:w="120" w:type="dxa"/>
            </w:tcMar>
          </w:tcPr>
          <w:p>
            <w:pPr>
              <w:spacing w:after="0" w:line="252" w:lineRule="auto"/>
            </w:pPr>
            <w:r>
              <w:rPr>
                <w:rFonts w:ascii="Arial" w:hAnsi="Arial"/>
                <w:sz w:val="17"/>
              </w:rPr>
              <w:t>Adipose tissue estimated by DEXA, MRI, CT, air displacement or bioimpedance.</w:t>
            </w:r>
          </w:p>
        </w:tc>
      </w:tr>
      <w:tr>
        <w:tc>
          <w:tcPr>
            <w:tcW w:type="dxa" w:w="1900"/>
            <w:vAlign w:val="center"/>
            <w:tcMar>
              <w:top w:w="80" w:type="dxa"/>
              <w:start w:w="120" w:type="dxa"/>
              <w:bottom w:w="80" w:type="dxa"/>
              <w:end w:w="120" w:type="dxa"/>
            </w:tcMar>
          </w:tcPr>
          <w:p>
            <w:pPr>
              <w:spacing w:after="0" w:line="252" w:lineRule="auto"/>
            </w:pPr>
            <w:r>
              <w:rPr>
                <w:rFonts w:ascii="Arial" w:hAnsi="Arial"/>
                <w:sz w:val="17"/>
              </w:rPr>
              <w:t>Fat-free mass / lean mass</w:t>
            </w:r>
          </w:p>
        </w:tc>
        <w:tc>
          <w:tcPr>
            <w:tcW w:type="dxa" w:w="7460"/>
            <w:vAlign w:val="center"/>
            <w:tcMar>
              <w:top w:w="80" w:type="dxa"/>
              <w:start w:w="120" w:type="dxa"/>
              <w:bottom w:w="80" w:type="dxa"/>
              <w:end w:w="120" w:type="dxa"/>
            </w:tcMar>
          </w:tcPr>
          <w:p>
            <w:pPr>
              <w:spacing w:after="0" w:line="252" w:lineRule="auto"/>
            </w:pPr>
            <w:r>
              <w:rPr>
                <w:rFonts w:ascii="Arial" w:hAnsi="Arial"/>
                <w:sz w:val="17"/>
              </w:rPr>
              <w:t>Everything that is not fat: skeletal muscle, organs, bone mineral, connective tissue and body water. Method-dependent.</w:t>
            </w:r>
          </w:p>
        </w:tc>
      </w:tr>
      <w:tr>
        <w:tc>
          <w:tcPr>
            <w:tcW w:type="dxa" w:w="1900"/>
            <w:vAlign w:val="center"/>
            <w:tcMar>
              <w:top w:w="80" w:type="dxa"/>
              <w:start w:w="120" w:type="dxa"/>
              <w:bottom w:w="80" w:type="dxa"/>
              <w:end w:w="120" w:type="dxa"/>
            </w:tcMar>
          </w:tcPr>
          <w:p>
            <w:pPr>
              <w:spacing w:after="0" w:line="252" w:lineRule="auto"/>
            </w:pPr>
            <w:r>
              <w:rPr>
                <w:rFonts w:ascii="Arial" w:hAnsi="Arial"/>
                <w:sz w:val="17"/>
              </w:rPr>
              <w:t>Skeletal muscle mass</w:t>
            </w:r>
          </w:p>
        </w:tc>
        <w:tc>
          <w:tcPr>
            <w:tcW w:type="dxa" w:w="7460"/>
            <w:vAlign w:val="center"/>
            <w:tcMar>
              <w:top w:w="80" w:type="dxa"/>
              <w:start w:w="120" w:type="dxa"/>
              <w:bottom w:w="80" w:type="dxa"/>
              <w:end w:w="120" w:type="dxa"/>
            </w:tcMar>
          </w:tcPr>
          <w:p>
            <w:pPr>
              <w:spacing w:after="0" w:line="252" w:lineRule="auto"/>
            </w:pPr>
            <w:r>
              <w:rPr>
                <w:rFonts w:ascii="Arial" w:hAnsi="Arial"/>
                <w:sz w:val="17"/>
              </w:rPr>
              <w:t>Contractile muscle tissue. Best assessed regionally by MRI/CT or estimated as appendicular lean mass; not identical to total DEXA lean mass.</w:t>
            </w:r>
          </w:p>
        </w:tc>
      </w:tr>
      <w:tr>
        <w:tc>
          <w:tcPr>
            <w:tcW w:type="dxa" w:w="1900"/>
            <w:vAlign w:val="center"/>
            <w:tcMar>
              <w:top w:w="80" w:type="dxa"/>
              <w:start w:w="120" w:type="dxa"/>
              <w:bottom w:w="80" w:type="dxa"/>
              <w:end w:w="120" w:type="dxa"/>
            </w:tcMar>
          </w:tcPr>
          <w:p>
            <w:pPr>
              <w:spacing w:after="0" w:line="252" w:lineRule="auto"/>
            </w:pPr>
            <w:r>
              <w:rPr>
                <w:rFonts w:ascii="Arial" w:hAnsi="Arial"/>
                <w:sz w:val="17"/>
              </w:rPr>
              <w:t>Muscle strength</w:t>
            </w:r>
          </w:p>
        </w:tc>
        <w:tc>
          <w:tcPr>
            <w:tcW w:type="dxa" w:w="7460"/>
            <w:vAlign w:val="center"/>
            <w:tcMar>
              <w:top w:w="80" w:type="dxa"/>
              <w:start w:w="120" w:type="dxa"/>
              <w:bottom w:w="80" w:type="dxa"/>
              <w:end w:w="120" w:type="dxa"/>
            </w:tcMar>
          </w:tcPr>
          <w:p>
            <w:pPr>
              <w:spacing w:after="0" w:line="252" w:lineRule="auto"/>
            </w:pPr>
            <w:r>
              <w:rPr>
                <w:rFonts w:ascii="Arial" w:hAnsi="Arial"/>
                <w:sz w:val="17"/>
              </w:rPr>
              <w:t>Force output, measured by grip strength or exercise tests. Mass and strength can change differently.</w:t>
            </w:r>
          </w:p>
        </w:tc>
      </w:tr>
      <w:tr>
        <w:tc>
          <w:tcPr>
            <w:tcW w:type="dxa" w:w="1900"/>
            <w:vAlign w:val="center"/>
            <w:tcMar>
              <w:top w:w="80" w:type="dxa"/>
              <w:start w:w="120" w:type="dxa"/>
              <w:bottom w:w="80" w:type="dxa"/>
              <w:end w:w="120" w:type="dxa"/>
            </w:tcMar>
          </w:tcPr>
          <w:p>
            <w:pPr>
              <w:spacing w:after="0" w:line="252" w:lineRule="auto"/>
            </w:pPr>
            <w:r>
              <w:rPr>
                <w:rFonts w:ascii="Arial" w:hAnsi="Arial"/>
                <w:sz w:val="17"/>
              </w:rPr>
              <w:t>Physical function</w:t>
            </w:r>
          </w:p>
        </w:tc>
        <w:tc>
          <w:tcPr>
            <w:tcW w:type="dxa" w:w="7460"/>
            <w:vAlign w:val="center"/>
            <w:tcMar>
              <w:top w:w="80" w:type="dxa"/>
              <w:start w:w="120" w:type="dxa"/>
              <w:bottom w:w="80" w:type="dxa"/>
              <w:end w:w="120" w:type="dxa"/>
            </w:tcMar>
          </w:tcPr>
          <w:p>
            <w:pPr>
              <w:spacing w:after="0" w:line="252" w:lineRule="auto"/>
            </w:pPr>
            <w:r>
              <w:rPr>
                <w:rFonts w:ascii="Arial" w:hAnsi="Arial"/>
                <w:sz w:val="17"/>
              </w:rPr>
              <w:t>What a person can do: walking, stair climbing, chair rise, balance or six-minute walk.</w:t>
            </w:r>
          </w:p>
        </w:tc>
      </w:tr>
      <w:tr>
        <w:tc>
          <w:tcPr>
            <w:tcW w:type="dxa" w:w="1900"/>
            <w:vAlign w:val="center"/>
            <w:tcMar>
              <w:top w:w="80" w:type="dxa"/>
              <w:start w:w="120" w:type="dxa"/>
              <w:bottom w:w="80" w:type="dxa"/>
              <w:end w:w="120" w:type="dxa"/>
            </w:tcMar>
          </w:tcPr>
          <w:p>
            <w:pPr>
              <w:spacing w:after="0" w:line="252" w:lineRule="auto"/>
            </w:pPr>
            <w:r>
              <w:rPr>
                <w:rFonts w:ascii="Arial" w:hAnsi="Arial"/>
                <w:sz w:val="17"/>
              </w:rPr>
              <w:t>Sarcopenia</w:t>
            </w:r>
          </w:p>
        </w:tc>
        <w:tc>
          <w:tcPr>
            <w:tcW w:type="dxa" w:w="7460"/>
            <w:vAlign w:val="center"/>
            <w:tcMar>
              <w:top w:w="80" w:type="dxa"/>
              <w:start w:w="120" w:type="dxa"/>
              <w:bottom w:w="80" w:type="dxa"/>
              <w:end w:w="120" w:type="dxa"/>
            </w:tcMar>
          </w:tcPr>
          <w:p>
            <w:pPr>
              <w:spacing w:after="0" w:line="252" w:lineRule="auto"/>
            </w:pPr>
            <w:r>
              <w:rPr>
                <w:rFonts w:ascii="Arial" w:hAnsi="Arial"/>
                <w:sz w:val="17"/>
              </w:rPr>
              <w:t>A clinical syndrome centered on low muscle strength, with low muscle quantity/quality supporting diagnosis and poor physical performance indicating severity. Weight loss alone does not diagnose it.</w:t>
            </w:r>
          </w:p>
        </w:tc>
      </w:tr>
      <w:tr>
        <w:tc>
          <w:tcPr>
            <w:tcW w:type="dxa" w:w="1900"/>
            <w:vAlign w:val="center"/>
            <w:tcMar>
              <w:top w:w="80" w:type="dxa"/>
              <w:start w:w="120" w:type="dxa"/>
              <w:bottom w:w="80" w:type="dxa"/>
              <w:end w:w="120" w:type="dxa"/>
            </w:tcMar>
          </w:tcPr>
          <w:p>
            <w:pPr>
              <w:spacing w:after="0" w:line="252" w:lineRule="auto"/>
            </w:pPr>
            <w:r>
              <w:rPr>
                <w:rFonts w:ascii="Arial" w:hAnsi="Arial"/>
                <w:sz w:val="17"/>
              </w:rPr>
              <w:t>Body recomposition</w:t>
            </w:r>
          </w:p>
        </w:tc>
        <w:tc>
          <w:tcPr>
            <w:tcW w:type="dxa" w:w="7460"/>
            <w:vAlign w:val="center"/>
            <w:tcMar>
              <w:top w:w="80" w:type="dxa"/>
              <w:start w:w="120" w:type="dxa"/>
              <w:bottom w:w="80" w:type="dxa"/>
              <w:end w:w="120" w:type="dxa"/>
            </w:tcMar>
          </w:tcPr>
          <w:p>
            <w:pPr>
              <w:spacing w:after="0" w:line="252" w:lineRule="auto"/>
            </w:pPr>
            <w:r>
              <w:rPr>
                <w:rFonts w:ascii="Arial" w:hAnsi="Arial"/>
                <w:sz w:val="17"/>
              </w:rPr>
              <w:t>Improvement in the relative and/or absolute balance of fat and lean tissue, ideally with maintained or improved strength and function.</w:t>
            </w:r>
          </w:p>
        </w:tc>
      </w:tr>
    </w:tbl>
    <w:p>
      <w:pPr>
        <w:spacing w:after="0"/>
      </w:pPr>
    </w:p>
    <w:p>
      <w:pPr>
        <w:pStyle w:val="Heading1"/>
      </w:pPr>
      <w:r>
        <w:t>2. What GLP-1 therapy demonstrably does well</w:t>
      </w:r>
    </w:p>
    <w:p>
      <w:pPr>
        <w:pStyle w:val="Heading2"/>
      </w:pPr>
      <w:r>
        <w:t>2.1 Weight loss efficacy</w:t>
      </w:r>
    </w:p>
    <w:p>
      <w:r>
        <w:rPr>
          <w:i w:val="0"/>
        </w:rPr>
        <w:t>In STEP 1, adults with overweight or obesity but without diabetes lost a mean 14.9% of baseline body weight at 68 weeks with semaglutide 2.4 mg plus lifestyle intervention, versus 2.4% with placebo. In SURMOUNT-1, mean losses at 72 weeks were 15.0%, 19.5% and 20.9% with tirzepatide 5, 10 and 15 mg, versus 3.1% with placebo. These are trial averages under defined inclusion criteria and adherence conditions—not guaranteed individual results. [1,2]</w:t>
      </w:r>
    </w:p>
    <w:p>
      <w:r>
        <w:rPr>
          <w:i w:val="0"/>
        </w:rPr>
        <w:t>Longer follow-up matters. In SELECT, semaglutide-treated participants with established cardiovascular disease maintained an average 10.2% reduction at 208 weeks versus 1.5% with placebo. The lower magnitude compared with STEP 1 reflects a different population and trial design; results should not be mixed as if they came from the same experiment. [4]</w:t>
      </w:r>
    </w:p>
    <w:p>
      <w:pPr>
        <w:pStyle w:val="Heading2"/>
      </w:pPr>
      <w:r>
        <w:t>2.2 Cardiovascular outcomes</w:t>
      </w:r>
    </w:p>
    <w:p>
      <w:r>
        <w:rPr>
          <w:i w:val="0"/>
        </w:rPr>
        <w:t>SELECT enrolled 17,604 adults with overweight or obesity and established cardiovascular disease but without diabetes. Major cardiovascular events occurred in 6.5% of semaglutide participants and 8.0% of placebo participants (hazard ratio 0.80), a 20% relative risk reduction. The absolute difference was 1.5 percentage points over a mean follow-up of about 40 months. Public copy must specify this high-risk population; it is not evidence of a 20% risk reduction for every consumer. [3]</w:t>
      </w:r>
    </w:p>
    <w:p>
      <w:pPr>
        <w:pStyle w:val="Heading2"/>
      </w:pPr>
      <w:r>
        <w:t>2.3 Heart failure, kidney disease, sleep apnea and diabetes prevention</w:t>
      </w:r>
    </w:p>
    <w:p>
      <w:pPr>
        <w:pStyle w:val="ListBullet"/>
      </w:pPr>
      <w:r>
        <w:t>In STEP-HFpEF, people with obesity-related heart failure with preserved ejection fraction had a 16.6-point improvement in the KCCQ clinical summary score with semaglutide versus 8.7 points with placebo, and lost 13.3% versus 2.6% of body weight at 52 weeks. Symptoms, physical limitations and exercise capacity improved. [5]</w:t>
      </w:r>
    </w:p>
    <w:p>
      <w:pPr>
        <w:pStyle w:val="ListBullet"/>
      </w:pPr>
      <w:r>
        <w:t>In FLOW, adults with type 2 diabetes and chronic kidney disease had a 24% lower relative risk of the composite kidney/cardiovascular primary outcome with semaglutide than placebo. This is disease-specific evidence and belongs only in medically reviewed educational content. [6]</w:t>
      </w:r>
    </w:p>
    <w:p>
      <w:pPr>
        <w:pStyle w:val="ListBullet"/>
      </w:pPr>
      <w:r>
        <w:t>In two SURMOUNT-OSA phase 3 trials, tirzepatide reduced apnea-hypopnea index, body weight, hypoxic burden and inflammatory and blood-pressure measures in adults with obesity and moderate-to-severe obstructive sleep apnea, with or without positive airway pressure use. It does not support advising users to stop PAP. [7]</w:t>
      </w:r>
    </w:p>
    <w:p>
      <w:pPr>
        <w:pStyle w:val="ListBullet"/>
      </w:pPr>
      <w:r>
        <w:t>In the 176-week SURMOUNT-1 extension among participants with obesity and prediabetes, tirzepatide produced sustained weight loss and a reported 94% relative reduction in progression to type 2 diabetes versus placebo. This is powerful but population-specific, treatment-period evidence. [8]</w:t>
      </w:r>
    </w:p>
    <w:p>
      <w:pPr>
        <w:pStyle w:val="Heading2"/>
      </w:pPr>
      <w:r>
        <w:t>2.4 The correct framing</w:t>
      </w:r>
    </w:p>
    <w:p>
      <w:r>
        <w:rPr>
          <w:i w:val="0"/>
        </w:rPr>
        <w:t>A scientifically honest landing page can celebrate these benefits while explaining that successful obesity care is not reducible to a lower scale number. The same magnitude of weight loss can yield different levels of strength, function, protein adequacy, skin comfort and maintenance readiness. Peptis serves those modifiable dimensions; it should not imply that its supplements create the cardiovascular or disease outcomes produced by prescription trials.</w:t>
      </w:r>
    </w:p>
    <w:p>
      <w:r>
        <w:br w:type="page"/>
      </w:r>
    </w:p>
    <w:p>
      <w:pPr>
        <w:pStyle w:val="Heading1"/>
      </w:pPr>
      <w:r>
        <w:t>3. Problem taxonomy: why body-recomposition support is needed</w:t>
      </w:r>
    </w:p>
    <w:p>
      <w:pPr>
        <w:pStyle w:val="Heading2"/>
      </w:pPr>
      <w:r>
        <w:t>3.1 Problem: absolute lean mass often falls</w:t>
      </w:r>
    </w:p>
    <w:p>
      <w:r>
        <w:rPr>
          <w:i w:val="0"/>
        </w:rPr>
        <w:t>The central fact is nuanced. A 2025 network meta-analysis of 22 randomized trials and 2,258 participants found that GLP-1-based therapies reduced body weight, fat mass and lean mass; estimated lean-mass loss was about 25% of total weight lost, while relative lean mass was not adversely changed. Other reviews report wider ranges because drugs, populations, duration and measurement methods differ. [13-15]</w:t>
      </w:r>
    </w:p>
    <w:p>
      <w:r>
        <w:rPr>
          <w:i w:val="0"/>
        </w:rPr>
        <w:t>In the STEP 1 DEXA substudy, semaglutide reduced total fat mass by 19.3%, visceral fat mass by 27.4% and total lean mass by 9.7%; lean mass as a proportion of body weight increased by 3 percentage points. In the SURMOUNT-1 DEXA substudy, tirzepatide reduced fat mass by 33.9% and lean mass by 10.9%; approximately 75% of the weight lost was fat mass and 25% lean mass. Both studies therefore show less absolute lean mass but a more favorable overall composition. [11,12]</w:t>
      </w:r>
    </w:p>
    <w:p>
      <w:r>
        <w:rPr>
          <w:i w:val="0"/>
        </w:rPr>
        <w:t>A 2026 proof-of-concept clinical study adds an important counterweight to alarmist messaging: people using GLP-1 medicines improved body composition without a measured deterioration in strength, even though absolute lean or muscle values could decline. This does not settle risk in older or frail populations, but it shows why function must be measured rather than inferred from a DEXA number. [16]</w:t>
      </w:r>
    </w:p>
    <w:p>
      <w:pPr>
        <w:pStyle w:val="Heading3"/>
      </w:pPr>
      <w:r>
        <w:t>Why lean mass falls</w:t>
      </w:r>
    </w:p>
    <w:p>
      <w:pPr>
        <w:pStyle w:val="ListBullet"/>
      </w:pPr>
      <w:r>
        <w:t>Energy deficit: less energy intake reduces the substrate and anabolic signaling available for muscle protein synthesis.</w:t>
      </w:r>
    </w:p>
    <w:p>
      <w:pPr>
        <w:pStyle w:val="ListBullet"/>
      </w:pPr>
      <w:r>
        <w:t>Lower protein intake: appetite suppression, early satiety, nausea and food aversion can reduce the number and size of protein-containing meals.</w:t>
      </w:r>
    </w:p>
    <w:p>
      <w:pPr>
        <w:pStyle w:val="ListBullet"/>
      </w:pPr>
      <w:r>
        <w:t>Reduced mechanical loading: a lighter body imposes less daily load, and sedentary users may not provide a resistance-training stimulus to retain tissue.</w:t>
      </w:r>
    </w:p>
    <w:p>
      <w:pPr>
        <w:pStyle w:val="ListBullet"/>
      </w:pPr>
      <w:r>
        <w:t>Normal adaptive loss: substantial weight loss from diet or bariatric surgery also includes fat-free mass; the phenomenon is not unique to GLP-1 therapy.</w:t>
      </w:r>
    </w:p>
    <w:p>
      <w:pPr>
        <w:pStyle w:val="ListBullet"/>
      </w:pPr>
      <w:r>
        <w:t>Baseline vulnerability: aging, low prior activity, low protein intake, chronic disease, menopause, prior weight cycling and sarcopenic obesity reduce reserve.</w:t>
      </w:r>
    </w:p>
    <w:p>
      <w:pPr>
        <w:pStyle w:val="ListBullet"/>
      </w:pPr>
      <w:r>
        <w:t>Measurement artifacts and physiology: glycogen and its associated water, extracellular fluid, organ size and connective tissue contribute to “lean mass” estimates.</w:t>
      </w:r>
    </w:p>
    <w:p>
      <w:pPr>
        <w:pStyle w:val="ListBullet"/>
      </w:pPr>
      <w:r>
        <w:t>Possibly drug-specific biology: preclinical and emerging clinical studies examine direct effects, but current human evidence does not prove that approved medicines directly cause pathological muscle wasting independent of weight loss.</w:t>
      </w:r>
    </w:p>
    <w:p>
      <w:pPr>
        <w:pStyle w:val="Heading3"/>
      </w:pPr>
      <w:r>
        <w:t>Who is most vulnerable</w:t>
      </w:r>
    </w:p>
    <w:p>
      <w:pPr>
        <w:pStyle w:val="ListBullet"/>
      </w:pPr>
      <w:r>
        <w:t>Adults over roughly 60-65, especially with low grip strength, slow gait, recent falls or difficulty rising from a chair.</w:t>
      </w:r>
    </w:p>
    <w:p>
      <w:pPr>
        <w:pStyle w:val="ListBullet"/>
      </w:pPr>
      <w:r>
        <w:t>People beginning treatment with low muscle mass or a long history of inactivity and restrictive dieting.</w:t>
      </w:r>
    </w:p>
    <w:p>
      <w:pPr>
        <w:pStyle w:val="ListBullet"/>
      </w:pPr>
      <w:r>
        <w:t>People with chronic kidney, liver, inflammatory or gastrointestinal disease, where protein and exercise prescriptions require clinical individualization.</w:t>
      </w:r>
    </w:p>
    <w:p>
      <w:pPr>
        <w:pStyle w:val="ListBullet"/>
      </w:pPr>
      <w:r>
        <w:t>Users losing weight very rapidly, skipping meals, repeatedly vomiting, or consuming very low calories without supervision.</w:t>
      </w:r>
    </w:p>
    <w:p>
      <w:pPr>
        <w:pStyle w:val="ListBullet"/>
      </w:pPr>
      <w:r>
        <w:t>People taking insulin or insulin secretagogues, for whom nutrition and exercise changes can alter hypoglycemia risk.</w:t>
      </w:r>
    </w:p>
    <w:p>
      <w:pPr>
        <w:pStyle w:val="ListBullet"/>
      </w:pPr>
      <w:r>
        <w:t>Anyone reporting declining gym performance, fatigue, dizziness, worsening balance or difficulty with activities of daily living.</w:t>
      </w:r>
    </w:p>
    <w:p>
      <w:pPr>
        <w:pStyle w:val="Heading3"/>
      </w:pPr>
      <w:r>
        <w:t>What Peptis can and cannot say</w:t>
      </w:r>
    </w:p>
    <w:p>
      <w:r>
        <w:rPr>
          <w:i w:val="0"/>
        </w:rPr>
        <w:t>Defensible: “Significant weight loss can include lean tissue as well as fat. Strength training and adequate protein are evidence-based priorities during weight loss.” Avoid: “GLP-1s destroy 40% of your muscle,” “our shake prevents Ozempic muscle loss,” or “creatine reverses semaglutide wasting.” The first confuses lean mass with muscle and cherry-picks the top of a heterogeneous range; the latter two imply drug-side-effect treatment without product-specific trials.</w:t>
      </w:r>
    </w:p>
    <w:p>
      <w:pPr>
        <w:pStyle w:val="Heading2"/>
      </w:pPr>
      <w:r>
        <w:t>3.2 Problem: low appetite can create a nutrition bottleneck</w:t>
      </w:r>
    </w:p>
    <w:p>
      <w:r>
        <w:rPr>
          <w:i w:val="0"/>
        </w:rPr>
        <w:t>Semaglutide lowers appetite and energy intake. In controlled appetite studies, ad libitum daily energy intake was 24% lower after 12 weeks at diabetes-range dosing, and a separate semaglutide 2.4 mg study found a 35% lower ad libitum meal intake than placebo. These short mechanistic trials are not forecasts of an individual’s long-term calorie deficit, but they explain why protein-dense and nutrient-dense foods become important. [19,20]</w:t>
      </w:r>
    </w:p>
    <w:p>
      <w:r>
        <w:rPr>
          <w:i w:val="0"/>
        </w:rPr>
        <w:t>The 2025 joint advisory from four major nutrition and obesity organizations identifies baseline assessment, GI management, nutrient-dense dietary patterns, prevention of micronutrient deficiency, adequate protein, strength training and wider lifestyle support as priorities. It also emphasizes that most people prescribed GLP-1 therapy do not receive enough nutrition counseling. [17,18]</w:t>
      </w:r>
    </w:p>
    <w:p>
      <w:r>
        <w:rPr>
          <w:i w:val="0"/>
        </w:rPr>
        <w:t>The problem is not that every user becomes deficient. The problem is that lower food volume leaves less margin for a diet built around low-protein snacks, alcohol, sweets or meal skipping. Peptis should therefore focus on “protein first, plants and fluids every day, supplements only to close a real gap.”</w:t>
      </w:r>
    </w:p>
    <w:p>
      <w:pPr>
        <w:pStyle w:val="Heading2"/>
      </w:pPr>
      <w:r>
        <w:t>3.3 Problem: gastrointestinal effects disrupt adherence</w:t>
      </w:r>
    </w:p>
    <w:p>
      <w:r>
        <w:rPr>
          <w:i w:val="0"/>
        </w:rPr>
        <w:t>FDA labeling is the best source for frequency. In adult Wegovy 2.4 mg weight-reduction trials, nausea occurred in 44% versus 16% with placebo, diarrhea in 30% versus 16%, vomiting in 24% versus 6%, constipation in 24% versus 11%, abdominal pain in 20% versus 10% and fatigue in 11% versus 5%. Gastrointestinal reactions overall were reported by 73% versus 47%, and were most frequent during dose escalation. [38]</w:t>
      </w:r>
    </w:p>
    <w:p>
      <w:r>
        <w:rPr>
          <w:i w:val="0"/>
        </w:rPr>
        <w:t>In pooled Zepbound weight-reduction trials, nausea occurred in 25-29% across doses versus 8% with placebo, diarrhea in 19-23% versus 8%, vomiting in 8-13% versus 2% and constipation in 11-17% versus 5%. Overall GI events occurred in 56% across doses versus 30% with placebo and generally declined after escalation. [39]</w:t>
      </w:r>
    </w:p>
    <w:p>
      <w:r>
        <w:rPr>
          <w:i w:val="0"/>
        </w:rPr>
        <w:t>Peptis can provide general food-format guidance—smaller portions, slower eating, lower-fat meals if better tolerated, regular fluids and clinician contact for persistent symptoms—but should not operate as a medication titration service unless delivered inside the licensed clinical pathway. Red-flag symptoms require medical escalation, not a supplement upsell.</w:t>
      </w:r>
    </w:p>
    <w:p>
      <w:pPr>
        <w:pStyle w:val="Heading2"/>
      </w:pPr>
      <w:r>
        <w:t>3.4 Problem: strength and function can be ignored even when body composition improves</w:t>
      </w:r>
    </w:p>
    <w:p>
      <w:r>
        <w:rPr>
          <w:i w:val="0"/>
        </w:rPr>
        <w:t>Scale weight and DEXA do not tell the user whether they can carry luggage, climb stairs or keep progressing in the gym. Strength can be stable or improve even when absolute muscle mass falls, particularly when fat mass falls faster and training continues. Conversely, a stable lean-mass reading does not guarantee good function. The program should therefore monitor performance: repetitions or load in core movements, grip strength where feasible, a timed chair-rise test, walking tolerance and user-reported daily function.</w:t>
      </w:r>
    </w:p>
    <w:p>
      <w:r>
        <w:rPr>
          <w:i w:val="0"/>
        </w:rPr>
        <w:t>Resistance training during dietary weight loss reduced lean-mass loss by about 0.8 kg in an overview of systematic reviews. In older adults, combined aerobic and resistance exercise improved physical function more than either modality alone, and resistance-containing programs attenuated hip bone-density loss compared with aerobic exercise alone. [21-23]</w:t>
      </w:r>
    </w:p>
    <w:p>
      <w:pPr>
        <w:pStyle w:val="Heading2"/>
      </w:pPr>
      <w:r>
        <w:t>3.5 Problem: bone health can deteriorate during weight loss</w:t>
      </w:r>
    </w:p>
    <w:p>
      <w:r>
        <w:rPr>
          <w:i w:val="0"/>
        </w:rPr>
        <w:t>Weight loss reduces skeletal loading and can increase bone turnover, especially in older adults. The evidence is stronger for weight loss generally than for a unique GLP-1 drug effect. In a randomized trial of 160 older adults losing about 10% of body weight, hip BMD declined less with resistance exercise (-0.7%) or combined exercise (-1.1%) than with aerobic exercise alone (-2.6%). [23]</w:t>
      </w:r>
    </w:p>
    <w:p>
      <w:r>
        <w:rPr>
          <w:i w:val="0"/>
        </w:rPr>
        <w:t>This supports weight-bearing and resistance exercise, adequate calcium and vitamin D from diet or clinically appropriate supplementation, and risk-based screening. It does not support telling every GLP-1 user to take a bone supplement or implying that a protein powder prevents fractures.</w:t>
      </w:r>
    </w:p>
    <w:p>
      <w:pPr>
        <w:pStyle w:val="Heading2"/>
      </w:pPr>
      <w:r>
        <w:t>3.6 Problem: skin laxity, facial hollowing and “Ozempic face”</w:t>
      </w:r>
    </w:p>
    <w:p>
      <w:r>
        <w:rPr>
          <w:i w:val="0"/>
        </w:rPr>
        <w:t>Visible change has at least three components: loss of subcutaneous fat volume, pre-existing skin quality and the ability of connective tissue to remodel. The face may look more hollow because deep and superficial fat compartments shrink; the abdomen, arms, thighs, breasts and neck may retain excess skin after large loss. Histologic studies after massive weight loss report thinner or less dense collagen and damaged elastic-fiber networks, but these studies do not establish that a GLP-1 drug directly caused the tissue changes. [33,34]</w:t>
      </w:r>
    </w:p>
    <w:p>
      <w:r>
        <w:rPr>
          <w:i w:val="0"/>
        </w:rPr>
        <w:t>Risk factors include greater total loss, faster loss, older age, long duration of obesity, prior pregnancies, repeated weight cycling, genetics, smoking and UV exposure. Rapid loss may make volume change more visually abrupt, although a meta-analysis comparing rapid with gradual weight loss did not find a significant difference in fat-free mass and cannot prove that a specific rate prevents loose skin. [35,36,46]</w:t>
      </w:r>
    </w:p>
    <w:p>
      <w:r>
        <w:rPr>
          <w:i w:val="0"/>
        </w:rPr>
        <w:t>What helps is proportionate to severity. Time at a stable weight, sun protection, smoking cessation, adequate nutrition and resistance training support general tissue health and underlying contour. Moisturizers and retinoids can improve surface quality but do not remove large folds. Energy-based procedures or surgery may be appropriate after medical evaluation; substantial excess skin cannot be “worked off.”</w:t>
      </w:r>
    </w:p>
    <w:p>
      <w:r>
        <w:rPr>
          <w:i w:val="0"/>
        </w:rPr>
        <w:t>Oral collagen is not a strong Peptis hero solution. Earlier meta-analyses reported modest improvements in hydration and elasticity, but a 2025 analysis found no benefit in high-quality or non-industry-funded subsets and concluded that current clinical evidence does not support collagen supplements for preventing or treating skin aging. It has also not been shown to prevent loose skin during GLP-1 weight loss. [32]</w:t>
      </w:r>
    </w:p>
    <w:p>
      <w:pPr>
        <w:pStyle w:val="Heading2"/>
      </w:pPr>
      <w:r>
        <w:t>3.7 Problem: hair shedding</w:t>
      </w:r>
    </w:p>
    <w:p>
      <w:r>
        <w:rPr>
          <w:i w:val="0"/>
        </w:rPr>
        <w:t>Hair loss appears in current product labeling: 3% with Wegovy 2.4 mg versus 1% with placebo, and roughly 4-5% across Zepbound doses versus 1% with placebo in pooled weight-reduction trials. Zepbound labeling states that hair-loss reactions were associated with weight reduction and were more frequent in women (7.1% versus 0.5% in men). [38,39]</w:t>
      </w:r>
    </w:p>
    <w:p>
      <w:r>
        <w:rPr>
          <w:i w:val="0"/>
        </w:rPr>
        <w:t>Rapid weight loss, low energy intake, protein or micronutrient inadequacy and physiological stress can trigger telogen effluvium. However, clinical evidence establishing a direct drug-specific mechanism remains sparse. Content should tell readers to seek evaluation for persistent or patterned loss because iron deficiency, thyroid disease, androgenetic alopecia and other causes may coexist. [37]</w:t>
      </w:r>
    </w:p>
    <w:p>
      <w:pPr>
        <w:pStyle w:val="Heading2"/>
      </w:pPr>
      <w:r>
        <w:t>3.8 Problem: weight regain after discontinuation</w:t>
      </w:r>
    </w:p>
    <w:p>
      <w:r>
        <w:rPr>
          <w:i w:val="0"/>
        </w:rPr>
        <w:t>The STEP 1 extension found that one year after stopping semaglutide and lifestyle intervention, participants regained about two-thirds of their prior weight loss and many cardiometabolic improvements moved back toward baseline. In STEP 4, participants switched from semaglutide to placebo gained 6.9% from week 20 to 68 while those continuing semaglutide lost another 7.9%. [9,10]</w:t>
      </w:r>
    </w:p>
    <w:p>
      <w:r>
        <w:rPr>
          <w:i w:val="0"/>
        </w:rPr>
        <w:t>This is not evidence that medication “breaks metabolism”; obesity is a chronic relapsing disease and the biology defending body weight returns when treatment stops. It is evidence that maintenance planning, clinical follow-up, adequate strength and a repeatable eating pattern should begin before discontinuation rather than after regain.</w:t>
      </w:r>
    </w:p>
    <w:p>
      <w:pPr>
        <w:pStyle w:val="Heading2"/>
      </w:pPr>
      <w:r>
        <w:t>3.9 Additional safety and experience issues</w:t>
      </w:r>
    </w:p>
    <w:p>
      <w:pPr>
        <w:pStyle w:val="ListBullet"/>
      </w:pPr>
      <w:r>
        <w:t>Dehydration and dizziness: vomiting, diarrhea and lower intake can contribute to volume depletion. Persistent symptoms or orthostatic symptoms need clinical review.</w:t>
      </w:r>
    </w:p>
    <w:p>
      <w:pPr>
        <w:pStyle w:val="ListBullet"/>
      </w:pPr>
      <w:r>
        <w:t>Gallbladder disease: rapid or substantial weight loss itself raises gallstone risk; current labels include gallbladder warnings and event data.</w:t>
      </w:r>
    </w:p>
    <w:p>
      <w:pPr>
        <w:pStyle w:val="ListBullet"/>
      </w:pPr>
      <w:r>
        <w:t>Pancreatitis and severe abdominal symptoms: uncommon but medically urgent; content must route users to immediate care rather than self-management.</w:t>
      </w:r>
    </w:p>
    <w:p>
      <w:pPr>
        <w:pStyle w:val="ListBullet"/>
      </w:pPr>
      <w:r>
        <w:t>Hypoglycemia: especially relevant when therapy is combined with insulin or sulfonylureas. Peptis must not prescribe carbohydrate changes without clinical coordination.</w:t>
      </w:r>
    </w:p>
    <w:p>
      <w:pPr>
        <w:pStyle w:val="ListBullet"/>
      </w:pPr>
      <w:r>
        <w:t>Eating disorders and over-restriction: appetite suppression can interact with disordered eating. The quiz should screen gently and avoid gamifying maximal restriction.</w:t>
      </w:r>
    </w:p>
    <w:p>
      <w:pPr>
        <w:pStyle w:val="ListBullet"/>
      </w:pPr>
      <w:r>
        <w:t>Psychological adaptation: body-image distress may persist or shift toward skin, face or fear of regain. Testimonials should not imply a single ideal physique.</w:t>
      </w:r>
    </w:p>
    <w:p>
      <w:r>
        <w:br w:type="page"/>
      </w:r>
    </w:p>
    <w:p>
      <w:pPr>
        <w:pStyle w:val="Heading1"/>
      </w:pPr>
      <w:r>
        <w:t>4. Solution architecture for Peptis</w:t>
      </w:r>
    </w:p>
    <w:p>
      <w:pPr>
        <w:pStyle w:val="Heading2"/>
      </w:pPr>
      <w:r>
        <w:t>4.1 The minimum effective system</w:t>
      </w:r>
    </w:p>
    <w:p>
      <w:r>
        <w:rPr>
          <w:i w:val="0"/>
        </w:rPr>
        <w:t>The evidence supports a five-part service: assess risk, make protein achievable, progressively load muscle, manage tolerability and monitor outcomes beyond weight. Supplements can make the system easier, but the service is the differentiated product.</w:t>
      </w:r>
    </w:p>
    <w:p>
      <w:pPr>
        <w:pStyle w:val="ListNumber"/>
      </w:pPr>
      <w:r>
        <w:t>Assess: medication status, pace of loss, baseline activity, dietary pattern, GI tolerance, strength/function red flags, kidney/liver disease, pregnancy, eating-disorder risk and clinician involvement.</w:t>
      </w:r>
    </w:p>
    <w:p>
      <w:pPr>
        <w:pStyle w:val="ListNumber"/>
      </w:pPr>
      <w:r>
        <w:t>Build: set a realistic protein and meal-structure target; prioritize whole foods and use a convenient complete protein only when needed.</w:t>
      </w:r>
    </w:p>
    <w:p>
      <w:pPr>
        <w:pStyle w:val="ListNumber"/>
      </w:pPr>
      <w:r>
        <w:t>Train: deliver two or three progressive full-body resistance sessions per week, adapted for home or gym, plus walking and aerobic work.</w:t>
      </w:r>
    </w:p>
    <w:p>
      <w:pPr>
        <w:pStyle w:val="ListNumber"/>
      </w:pPr>
      <w:r>
        <w:t>Recover: fluids, fiber, sleep, symptom-aware meal sizing and clinician escalation rules; creatine can be considered for suitable users who train.</w:t>
      </w:r>
    </w:p>
    <w:p>
      <w:pPr>
        <w:pStyle w:val="ListNumber"/>
      </w:pPr>
      <w:r>
        <w:t>Measure: weight trend, waist, protein consistency, training performance, chair rise or grip, symptoms and maintenance readiness.</w:t>
      </w:r>
    </w:p>
    <w:p>
      <w:pPr>
        <w:pStyle w:val="Heading2"/>
      </w:pPr>
      <w:r>
        <w:t>4.2 Protein: useful, but personalize the denominator</w:t>
      </w:r>
    </w:p>
    <w:p>
      <w:r>
        <w:rPr>
          <w:i w:val="0"/>
        </w:rPr>
        <w:t>Higher-protein energy-restricted diets can preserve more fat-free mass than the 0.8 g/kg/day RDA pattern, especially with resistance exercise. Reviews commonly identify 1.2-1.6 g/kg/day as a useful evidence-based range for active weight management and 25-30 g per meal as a practical distribution target. Resistance-training literature often uses 20-40 g high-quality protein doses. [24-28]</w:t>
      </w:r>
    </w:p>
    <w:p>
      <w:r>
        <w:rPr>
          <w:i w:val="0"/>
        </w:rPr>
        <w:t>For people with obesity, multiplying a high target by current body weight can produce an unnecessarily large number. A clinician or dietitian may use goal weight, ideal body weight, adjusted body weight or measured lean mass. Peptis should not hard-code one denominator for every user. Older adults may benefit from a stronger per-meal signal, while kidney disease, liver disease, pregnancy and other conditions require individual guidance.</w:t>
      </w:r>
    </w:p>
    <w:p>
      <w:r>
        <w:rPr>
          <w:i w:val="0"/>
        </w:rPr>
        <w:t>Commercial translation: a clear whey serving providing approximately 20-25 g complete protein can close a common gap when large milky shakes feel unappealing. The label can say the product “provides 25 g of complete protein” and “supports muscle maintenance” if substantiated and reviewed. It should not say it “prevents GLP-1 muscle loss.”</w:t>
      </w:r>
    </w:p>
    <w:p>
      <w:pPr>
        <w:pStyle w:val="Heading2"/>
      </w:pPr>
      <w:r>
        <w:t>4.3 Resistance training: the non-negotiable center</w:t>
      </w:r>
    </w:p>
    <w:p>
      <w:r>
        <w:rPr>
          <w:i w:val="0"/>
        </w:rPr>
        <w:t>A simple beginner program should train the major movement patterns: squat or sit-to-stand, hinge, push, pull, carry or brace, and a calf or step pattern. Start with 1-2 working sets per movement and build toward 2-4 sets, generally 6-15 repetitions, leaving several repetitions in reserve initially. Progress when technique is stable by adding repetitions, load, range of motion or a harder variation.</w:t>
      </w:r>
    </w:p>
    <w:p>
      <w:r>
        <w:rPr>
          <w:i w:val="0"/>
        </w:rPr>
        <w:t>Two full-body sessions per week are a credible minimum for beginners; three offers more practice and volume if recovery is good. The plan should include substitutions for knee pain, back pain, limited equipment and low confidence. “Do more cardio” is not an adequate muscle-preservation strategy, although aerobic activity remains valuable for cardiovascular health and work capacity.</w:t>
      </w:r>
    </w:p>
    <w:p>
      <w:pPr>
        <w:pStyle w:val="Heading2"/>
      </w:pPr>
      <w:r>
        <w:t>4.4 Creatine monohydrate: evidence-backed adjunct, not a drug antidote</w:t>
      </w:r>
    </w:p>
    <w:p>
      <w:r>
        <w:rPr>
          <w:i w:val="0"/>
        </w:rPr>
        <w:t>Creatine monohydrate is one of the better-supported sports supplements. Meta-analyses show small additional gains in lean mass or direct muscle thickness and improved strength when combined with resistance training. A 2024 meta-analysis reported about 1.14 kg more DEXA lean mass than resistance training alone, although early water retention contributes to DEXA lean-mass change and direct hypertrophy effects are smaller. [29-31]</w:t>
      </w:r>
    </w:p>
    <w:p>
      <w:r>
        <w:rPr>
          <w:i w:val="0"/>
        </w:rPr>
        <w:t>A common maintenance dose is 3-5 g/day; loading is optional. The Peptis message should be “supports repeated high-intensity performance and training adaptation,” not “blocks GLP-1 catabolism.” Users with kidney disease, pregnancy, complex medical conditions or unexplained laboratory abnormalities should discuss use with a clinician. Product quality, identity testing and batch COAs are a stronger differentiator than exotic creatine forms.</w:t>
      </w:r>
    </w:p>
    <w:p>
      <w:pPr>
        <w:pStyle w:val="Heading2"/>
      </w:pPr>
      <w:r>
        <w:t>4.5 GI-tolerant nutrition design</w:t>
      </w:r>
    </w:p>
    <w:p>
      <w:pPr>
        <w:pStyle w:val="ListBullet"/>
      </w:pPr>
      <w:r>
        <w:t>Use smaller, protein-forward eating occasions rather than forcing a large meal.</w:t>
      </w:r>
    </w:p>
    <w:p>
      <w:pPr>
        <w:pStyle w:val="ListBullet"/>
      </w:pPr>
      <w:r>
        <w:t>Offer low-volume options: Greek yogurt, eggs, fish, poultry, tofu, cottage cheese or a clear complete-protein drink.</w:t>
      </w:r>
    </w:p>
    <w:p>
      <w:pPr>
        <w:pStyle w:val="ListBullet"/>
      </w:pPr>
      <w:r>
        <w:t>Encourage slow eating and stopping at comfortable fullness; very high-fat or large meals may worsen symptoms for some users.</w:t>
      </w:r>
    </w:p>
    <w:p>
      <w:pPr>
        <w:pStyle w:val="ListBullet"/>
      </w:pPr>
      <w:r>
        <w:t>Build fluids across the day; repeated vomiting, inability to keep fluids down or signs of dehydration require clinical contact.</w:t>
      </w:r>
    </w:p>
    <w:p>
      <w:pPr>
        <w:pStyle w:val="ListBullet"/>
      </w:pPr>
      <w:r>
        <w:t>Increase fiber gradually and pair it with fluids; constipation advice must account for symptoms and medications.</w:t>
      </w:r>
    </w:p>
    <w:p>
      <w:pPr>
        <w:pStyle w:val="ListBullet"/>
      </w:pPr>
      <w:r>
        <w:t>Do not recommend self-adjusting dose, injection timing or medication cessation in a supplement program.</w:t>
      </w:r>
    </w:p>
    <w:p>
      <w:pPr>
        <w:pStyle w:val="Heading2"/>
      </w:pPr>
      <w:r>
        <w:t>4.6 Skin-support strategy without overpromising</w:t>
      </w:r>
    </w:p>
    <w:p>
      <w:r>
        <w:rPr>
          <w:i w:val="0"/>
        </w:rPr>
        <w:t>The useful product is an expectation and referral pathway, not a miracle powder: educate on facial volume loss and body laxity; discourage smoking and unprotected UV exposure; maintain adequate nutrition; train to improve underlying shape; allow time after weight stabilization; and triage mild texture concerns to dermatology and substantial excess skin to a board-certified plastic surgeon. A moisturizer or retinoid can improve surface appearance, but it cannot contract a large abdominal apron or replace lost facial fat.</w:t>
      </w:r>
    </w:p>
    <w:p>
      <w:pPr>
        <w:pStyle w:val="Heading2"/>
      </w:pPr>
      <w:r>
        <w:t>4.7 Monitoring dashboard</w:t>
      </w:r>
    </w:p>
    <w:tbl>
      <w:tblPr>
        <w:tblStyle w:val="TableGrid"/>
        <w:tblW w:type="dxa" w:w="936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800"/>
        <w:gridCol w:w="7560"/>
      </w:tblGrid>
      <w:tr>
        <w:trPr>
          <w:tblHeader w:val="true"/>
        </w:trPr>
        <w:tc>
          <w:tcPr>
            <w:tcW w:type="dxa" w:w="1800"/>
            <w:vAlign w:val="center"/>
            <w:tcMar>
              <w:top w:w="80" w:type="dxa"/>
              <w:start w:w="120" w:type="dxa"/>
              <w:bottom w:w="80" w:type="dxa"/>
              <w:end w:w="120" w:type="dxa"/>
            </w:tcMar>
          </w:tcPr>
          <w:p>
            <w:r>
              <w:rPr>
                <w:rFonts w:ascii="Arial" w:hAnsi="Arial"/>
                <w:b/>
                <w:sz w:val="18"/>
              </w:rPr>
              <w:t>Cadence</w:t>
            </w:r>
          </w:p>
        </w:tc>
        <w:tc>
          <w:tcPr>
            <w:tcW w:type="dxa" w:w="7560"/>
            <w:vAlign w:val="center"/>
            <w:tcMar>
              <w:top w:w="80" w:type="dxa"/>
              <w:start w:w="120" w:type="dxa"/>
              <w:bottom w:w="80" w:type="dxa"/>
              <w:end w:w="120" w:type="dxa"/>
            </w:tcMar>
          </w:tcPr>
          <w:p>
            <w:r>
              <w:rPr>
                <w:rFonts w:ascii="Arial" w:hAnsi="Arial"/>
                <w:b/>
                <w:sz w:val="18"/>
              </w:rPr>
              <w:t>Measures</w:t>
            </w:r>
          </w:p>
        </w:tc>
      </w:tr>
      <w:tr>
        <w:tc>
          <w:tcPr>
            <w:tcW w:type="dxa" w:w="1800"/>
            <w:vAlign w:val="center"/>
            <w:tcMar>
              <w:top w:w="80" w:type="dxa"/>
              <w:start w:w="120" w:type="dxa"/>
              <w:bottom w:w="80" w:type="dxa"/>
              <w:end w:w="120" w:type="dxa"/>
            </w:tcMar>
          </w:tcPr>
          <w:p>
            <w:pPr>
              <w:spacing w:after="0" w:line="252" w:lineRule="auto"/>
            </w:pPr>
            <w:r>
              <w:rPr>
                <w:rFonts w:ascii="Arial" w:hAnsi="Arial"/>
                <w:sz w:val="17"/>
              </w:rPr>
              <w:t>Weekly</w:t>
            </w:r>
          </w:p>
        </w:tc>
        <w:tc>
          <w:tcPr>
            <w:tcW w:type="dxa" w:w="7560"/>
            <w:vAlign w:val="center"/>
            <w:tcMar>
              <w:top w:w="80" w:type="dxa"/>
              <w:start w:w="120" w:type="dxa"/>
              <w:bottom w:w="80" w:type="dxa"/>
              <w:end w:w="120" w:type="dxa"/>
            </w:tcMar>
          </w:tcPr>
          <w:p>
            <w:pPr>
              <w:spacing w:after="0" w:line="252" w:lineRule="auto"/>
            </w:pPr>
            <w:r>
              <w:rPr>
                <w:rFonts w:ascii="Arial" w:hAnsi="Arial"/>
                <w:sz w:val="17"/>
              </w:rPr>
              <w:t>Average body weight; GI symptoms; fluid tolerance; protein goal days; steps or active minutes.</w:t>
            </w:r>
          </w:p>
        </w:tc>
      </w:tr>
      <w:tr>
        <w:tc>
          <w:tcPr>
            <w:tcW w:type="dxa" w:w="1800"/>
            <w:vAlign w:val="center"/>
            <w:tcMar>
              <w:top w:w="80" w:type="dxa"/>
              <w:start w:w="120" w:type="dxa"/>
              <w:bottom w:w="80" w:type="dxa"/>
              <w:end w:w="120" w:type="dxa"/>
            </w:tcMar>
          </w:tcPr>
          <w:p>
            <w:pPr>
              <w:spacing w:after="0" w:line="252" w:lineRule="auto"/>
            </w:pPr>
            <w:r>
              <w:rPr>
                <w:rFonts w:ascii="Arial" w:hAnsi="Arial"/>
                <w:sz w:val="17"/>
              </w:rPr>
              <w:t>Every 2-4 weeks</w:t>
            </w:r>
          </w:p>
        </w:tc>
        <w:tc>
          <w:tcPr>
            <w:tcW w:type="dxa" w:w="7560"/>
            <w:vAlign w:val="center"/>
            <w:tcMar>
              <w:top w:w="80" w:type="dxa"/>
              <w:start w:w="120" w:type="dxa"/>
              <w:bottom w:w="80" w:type="dxa"/>
              <w:end w:w="120" w:type="dxa"/>
            </w:tcMar>
          </w:tcPr>
          <w:p>
            <w:pPr>
              <w:spacing w:after="0" w:line="252" w:lineRule="auto"/>
            </w:pPr>
            <w:r>
              <w:rPr>
                <w:rFonts w:ascii="Arial" w:hAnsi="Arial"/>
                <w:sz w:val="17"/>
              </w:rPr>
              <w:t>Waist circumference; training loads/repetitions; chair-rise or push-up variation; energy and recovery.</w:t>
            </w:r>
          </w:p>
        </w:tc>
      </w:tr>
      <w:tr>
        <w:tc>
          <w:tcPr>
            <w:tcW w:type="dxa" w:w="1800"/>
            <w:vAlign w:val="center"/>
            <w:tcMar>
              <w:top w:w="80" w:type="dxa"/>
              <w:start w:w="120" w:type="dxa"/>
              <w:bottom w:w="80" w:type="dxa"/>
              <w:end w:w="120" w:type="dxa"/>
            </w:tcMar>
          </w:tcPr>
          <w:p>
            <w:pPr>
              <w:spacing w:after="0" w:line="252" w:lineRule="auto"/>
            </w:pPr>
            <w:r>
              <w:rPr>
                <w:rFonts w:ascii="Arial" w:hAnsi="Arial"/>
                <w:sz w:val="17"/>
              </w:rPr>
              <w:t>Every 8-12 weeks</w:t>
            </w:r>
          </w:p>
        </w:tc>
        <w:tc>
          <w:tcPr>
            <w:tcW w:type="dxa" w:w="7560"/>
            <w:vAlign w:val="center"/>
            <w:tcMar>
              <w:top w:w="80" w:type="dxa"/>
              <w:start w:w="120" w:type="dxa"/>
              <w:bottom w:w="80" w:type="dxa"/>
              <w:end w:w="120" w:type="dxa"/>
            </w:tcMar>
          </w:tcPr>
          <w:p>
            <w:pPr>
              <w:spacing w:after="0" w:line="252" w:lineRule="auto"/>
            </w:pPr>
            <w:r>
              <w:rPr>
                <w:rFonts w:ascii="Arial" w:hAnsi="Arial"/>
                <w:sz w:val="17"/>
              </w:rPr>
              <w:t>Progress photos with consent; estimated body composition using the same device and conditions; program adjustment.</w:t>
            </w:r>
          </w:p>
        </w:tc>
      </w:tr>
      <w:tr>
        <w:tc>
          <w:tcPr>
            <w:tcW w:type="dxa" w:w="1800"/>
            <w:vAlign w:val="center"/>
            <w:tcMar>
              <w:top w:w="80" w:type="dxa"/>
              <w:start w:w="120" w:type="dxa"/>
              <w:bottom w:w="80" w:type="dxa"/>
              <w:end w:w="120" w:type="dxa"/>
            </w:tcMar>
          </w:tcPr>
          <w:p>
            <w:pPr>
              <w:spacing w:after="0" w:line="252" w:lineRule="auto"/>
            </w:pPr>
            <w:r>
              <w:rPr>
                <w:rFonts w:ascii="Arial" w:hAnsi="Arial"/>
                <w:sz w:val="17"/>
              </w:rPr>
              <w:t>Risk-based clinical</w:t>
            </w:r>
          </w:p>
        </w:tc>
        <w:tc>
          <w:tcPr>
            <w:tcW w:type="dxa" w:w="7560"/>
            <w:vAlign w:val="center"/>
            <w:tcMar>
              <w:top w:w="80" w:type="dxa"/>
              <w:start w:w="120" w:type="dxa"/>
              <w:bottom w:w="80" w:type="dxa"/>
              <w:end w:w="120" w:type="dxa"/>
            </w:tcMar>
          </w:tcPr>
          <w:p>
            <w:pPr>
              <w:spacing w:after="0" w:line="252" w:lineRule="auto"/>
            </w:pPr>
            <w:r>
              <w:rPr>
                <w:rFonts w:ascii="Arial" w:hAnsi="Arial"/>
                <w:sz w:val="17"/>
              </w:rPr>
              <w:t>Blood pressure, glycemia, kidney/liver markers, micronutrients, medication review, DEXA or formal sarcopenia assessment.</w:t>
            </w:r>
          </w:p>
        </w:tc>
      </w:tr>
    </w:tbl>
    <w:p>
      <w:pPr>
        <w:spacing w:after="0"/>
      </w:pPr>
    </w:p>
    <w:p>
      <w:pPr>
        <w:pStyle w:val="SourceNote"/>
      </w:pPr>
      <w:r>
        <w:rPr>
          <w:i w:val="0"/>
        </w:rPr>
        <w:t>Consumer bioimpedance scales are hydration-sensitive. DEXA is more precise but still estimates lean tissue rather than measuring contractile muscle directly. Trend consistency and functional measures are more useful than presenting any single scan as exact.</w:t>
      </w:r>
    </w:p>
    <w:p>
      <w:pPr>
        <w:pStyle w:val="Heading2"/>
      </w:pPr>
      <w:r>
        <w:t>4.8 Red-flag escalation</w:t>
      </w:r>
    </w:p>
    <w:p>
      <w:pPr>
        <w:pStyle w:val="ListBullet"/>
      </w:pPr>
      <w:r>
        <w:t>Severe or persistent abdominal pain, especially radiating to the back, with or without vomiting.</w:t>
      </w:r>
    </w:p>
    <w:p>
      <w:pPr>
        <w:pStyle w:val="ListBullet"/>
      </w:pPr>
      <w:r>
        <w:t>Inability to retain fluids, fainting, confusion, very low urine output or significant orthostatic symptoms.</w:t>
      </w:r>
    </w:p>
    <w:p>
      <w:pPr>
        <w:pStyle w:val="ListBullet"/>
      </w:pPr>
      <w:r>
        <w:t>Symptoms of gallbladder disease, severe constipation/obstruction, allergic reaction or rapidly worsening weakness.</w:t>
      </w:r>
    </w:p>
    <w:p>
      <w:pPr>
        <w:pStyle w:val="ListBullet"/>
      </w:pPr>
      <w:r>
        <w:t>Recurrent hypoglycemia, medication interactions, pregnancy or planned surgery/procedure.</w:t>
      </w:r>
    </w:p>
    <w:p>
      <w:pPr>
        <w:pStyle w:val="ListBullet"/>
      </w:pPr>
      <w:r>
        <w:t>New functional decline, falls, marked muscle weakness, rapid unintended loss or signs of malnutrition.</w:t>
      </w:r>
    </w:p>
    <w:p>
      <w:pPr>
        <w:pStyle w:val="ListBullet"/>
      </w:pPr>
      <w:r>
        <w:t>Disordered eating, compulsive restriction, purging, severe anxiety or body-image crisis.</w:t>
      </w:r>
    </w:p>
    <w:p>
      <w:r>
        <w:br w:type="page"/>
      </w:r>
    </w:p>
    <w:p>
      <w:pPr>
        <w:pStyle w:val="Heading1"/>
      </w:pPr>
      <w:r>
        <w:t>5. Landing-page statistic library</w:t>
      </w:r>
    </w:p>
    <w:p>
      <w:r>
        <w:rPr>
          <w:i w:val="0"/>
        </w:rPr>
        <w:t>Use these as a controlled source bank. Each statement needs a nearby citation, population qualifier and date. Avoid stacking only negative statistics; the page should first establish benefits, then explain why body-recomposition support matters.</w:t>
      </w:r>
    </w:p>
    <w:tbl>
      <w:tblPr>
        <w:tblStyle w:val="TableGrid"/>
        <w:tblW w:type="dxa" w:w="936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200"/>
        <w:gridCol w:w="3100"/>
        <w:gridCol w:w="1450"/>
        <w:gridCol w:w="1200"/>
        <w:gridCol w:w="2410"/>
      </w:tblGrid>
      <w:tr>
        <w:trPr>
          <w:tblHeader w:val="true"/>
        </w:trPr>
        <w:tc>
          <w:tcPr>
            <w:tcW w:type="dxa" w:w="1200"/>
            <w:vAlign w:val="center"/>
            <w:tcMar>
              <w:top w:w="80" w:type="dxa"/>
              <w:start w:w="120" w:type="dxa"/>
              <w:bottom w:w="80" w:type="dxa"/>
              <w:end w:w="120" w:type="dxa"/>
            </w:tcMar>
          </w:tcPr>
          <w:p>
            <w:r>
              <w:rPr>
                <w:rFonts w:ascii="Arial" w:hAnsi="Arial"/>
                <w:b/>
                <w:sz w:val="18"/>
              </w:rPr>
              <w:t>Theme</w:t>
            </w:r>
          </w:p>
        </w:tc>
        <w:tc>
          <w:tcPr>
            <w:tcW w:type="dxa" w:w="3100"/>
            <w:vAlign w:val="center"/>
            <w:tcMar>
              <w:top w:w="80" w:type="dxa"/>
              <w:start w:w="120" w:type="dxa"/>
              <w:bottom w:w="80" w:type="dxa"/>
              <w:end w:w="120" w:type="dxa"/>
            </w:tcMar>
          </w:tcPr>
          <w:p>
            <w:r>
              <w:rPr>
                <w:rFonts w:ascii="Arial" w:hAnsi="Arial"/>
                <w:b/>
                <w:sz w:val="18"/>
              </w:rPr>
              <w:t>Claim-ready statistic</w:t>
            </w:r>
          </w:p>
        </w:tc>
        <w:tc>
          <w:tcPr>
            <w:tcW w:type="dxa" w:w="1450"/>
            <w:vAlign w:val="center"/>
            <w:tcMar>
              <w:top w:w="80" w:type="dxa"/>
              <w:start w:w="120" w:type="dxa"/>
              <w:bottom w:w="80" w:type="dxa"/>
              <w:end w:w="120" w:type="dxa"/>
            </w:tcMar>
          </w:tcPr>
          <w:p>
            <w:r>
              <w:rPr>
                <w:rFonts w:ascii="Arial" w:hAnsi="Arial"/>
                <w:b/>
                <w:sz w:val="18"/>
              </w:rPr>
              <w:t>Source</w:t>
            </w:r>
          </w:p>
        </w:tc>
        <w:tc>
          <w:tcPr>
            <w:tcW w:type="dxa" w:w="1200"/>
            <w:vAlign w:val="center"/>
            <w:tcMar>
              <w:top w:w="80" w:type="dxa"/>
              <w:start w:w="120" w:type="dxa"/>
              <w:bottom w:w="80" w:type="dxa"/>
              <w:end w:w="120" w:type="dxa"/>
            </w:tcMar>
          </w:tcPr>
          <w:p>
            <w:r>
              <w:rPr>
                <w:rFonts w:ascii="Arial" w:hAnsi="Arial"/>
                <w:b/>
                <w:sz w:val="18"/>
              </w:rPr>
              <w:t>Strength</w:t>
            </w:r>
          </w:p>
        </w:tc>
        <w:tc>
          <w:tcPr>
            <w:tcW w:type="dxa" w:w="2410"/>
            <w:vAlign w:val="center"/>
            <w:tcMar>
              <w:top w:w="80" w:type="dxa"/>
              <w:start w:w="120" w:type="dxa"/>
              <w:bottom w:w="80" w:type="dxa"/>
              <w:end w:w="120" w:type="dxa"/>
            </w:tcMar>
          </w:tcPr>
          <w:p>
            <w:r>
              <w:rPr>
                <w:rFonts w:ascii="Arial" w:hAnsi="Arial"/>
                <w:b/>
                <w:sz w:val="18"/>
              </w:rPr>
              <w:t>Guardrail</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Market</w:t>
            </w:r>
          </w:p>
        </w:tc>
        <w:tc>
          <w:tcPr>
            <w:tcW w:type="dxa" w:w="3100"/>
            <w:vAlign w:val="center"/>
            <w:tcMar>
              <w:top w:w="80" w:type="dxa"/>
              <w:start w:w="120" w:type="dxa"/>
              <w:bottom w:w="80" w:type="dxa"/>
              <w:end w:w="120" w:type="dxa"/>
            </w:tcMar>
          </w:tcPr>
          <w:p>
            <w:pPr>
              <w:spacing w:after="0" w:line="252" w:lineRule="auto"/>
            </w:pPr>
            <w:r>
              <w:rPr>
                <w:rFonts w:ascii="Arial" w:hAnsi="Arial"/>
                <w:sz w:val="17"/>
              </w:rPr>
              <w:t>40.3% of U.S. adults had obesity in Aug 2021-Aug 2023.</w:t>
            </w:r>
          </w:p>
        </w:tc>
        <w:tc>
          <w:tcPr>
            <w:tcW w:type="dxa" w:w="1450"/>
            <w:vAlign w:val="center"/>
            <w:tcMar>
              <w:top w:w="80" w:type="dxa"/>
              <w:start w:w="120" w:type="dxa"/>
              <w:bottom w:w="80" w:type="dxa"/>
              <w:end w:w="120" w:type="dxa"/>
            </w:tcMar>
          </w:tcPr>
          <w:p>
            <w:pPr>
              <w:spacing w:after="0" w:line="252" w:lineRule="auto"/>
            </w:pPr>
            <w:r>
              <w:rPr>
                <w:rFonts w:ascii="Arial" w:hAnsi="Arial"/>
                <w:sz w:val="17"/>
              </w:rPr>
              <w:t>CDC/NCHS [40]</w:t>
            </w:r>
          </w:p>
        </w:tc>
        <w:tc>
          <w:tcPr>
            <w:tcW w:type="dxa" w:w="1200"/>
            <w:vAlign w:val="center"/>
            <w:tcMar>
              <w:top w:w="80" w:type="dxa"/>
              <w:start w:w="120" w:type="dxa"/>
              <w:bottom w:w="80" w:type="dxa"/>
              <w:end w:w="120" w:type="dxa"/>
            </w:tcMar>
          </w:tcPr>
          <w:p>
            <w:pPr>
              <w:spacing w:after="0" w:line="252" w:lineRule="auto"/>
            </w:pPr>
            <w:r>
              <w:rPr>
                <w:rFonts w:ascii="Arial" w:hAnsi="Arial"/>
                <w:sz w:val="17"/>
              </w:rPr>
              <w:t>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Strong context; add age and period.</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Market</w:t>
            </w:r>
          </w:p>
        </w:tc>
        <w:tc>
          <w:tcPr>
            <w:tcW w:type="dxa" w:w="3100"/>
            <w:vAlign w:val="center"/>
            <w:tcMar>
              <w:top w:w="80" w:type="dxa"/>
              <w:start w:w="120" w:type="dxa"/>
              <w:bottom w:w="80" w:type="dxa"/>
              <w:end w:w="120" w:type="dxa"/>
            </w:tcMar>
          </w:tcPr>
          <w:p>
            <w:pPr>
              <w:spacing w:after="0" w:line="252" w:lineRule="auto"/>
            </w:pPr>
            <w:r>
              <w:rPr>
                <w:rFonts w:ascii="Arial" w:hAnsi="Arial"/>
                <w:sz w:val="17"/>
              </w:rPr>
              <w:t>12% of U.S. adults said they currently used a GLP-1 medicine in March 2026; 18% had ever used one.</w:t>
            </w:r>
          </w:p>
        </w:tc>
        <w:tc>
          <w:tcPr>
            <w:tcW w:type="dxa" w:w="1450"/>
            <w:vAlign w:val="center"/>
            <w:tcMar>
              <w:top w:w="80" w:type="dxa"/>
              <w:start w:w="120" w:type="dxa"/>
              <w:bottom w:w="80" w:type="dxa"/>
              <w:end w:w="120" w:type="dxa"/>
            </w:tcMar>
          </w:tcPr>
          <w:p>
            <w:pPr>
              <w:spacing w:after="0" w:line="252" w:lineRule="auto"/>
            </w:pPr>
            <w:r>
              <w:rPr>
                <w:rFonts w:ascii="Arial" w:hAnsi="Arial"/>
                <w:sz w:val="17"/>
              </w:rPr>
              <w:t>KFF poll [41]</w:t>
            </w:r>
          </w:p>
        </w:tc>
        <w:tc>
          <w:tcPr>
            <w:tcW w:type="dxa" w:w="1200"/>
            <w:vAlign w:val="center"/>
            <w:tcMar>
              <w:top w:w="80" w:type="dxa"/>
              <w:start w:w="120" w:type="dxa"/>
              <w:bottom w:w="80" w:type="dxa"/>
              <w:end w:w="120" w:type="dxa"/>
            </w:tcMar>
          </w:tcPr>
          <w:p>
            <w:pPr>
              <w:spacing w:after="0" w:line="252" w:lineRule="auto"/>
            </w:pPr>
            <w:r>
              <w:rPr>
                <w:rFonts w:ascii="Arial" w:hAnsi="Arial"/>
                <w:sz w:val="17"/>
              </w:rPr>
              <w:t>Moderate</w:t>
            </w:r>
          </w:p>
        </w:tc>
        <w:tc>
          <w:tcPr>
            <w:tcW w:type="dxa" w:w="2410"/>
            <w:vAlign w:val="center"/>
            <w:tcMar>
              <w:top w:w="80" w:type="dxa"/>
              <w:start w:w="120" w:type="dxa"/>
              <w:bottom w:w="80" w:type="dxa"/>
              <w:end w:w="120" w:type="dxa"/>
            </w:tcMar>
          </w:tcPr>
          <w:p>
            <w:pPr>
              <w:spacing w:after="0" w:line="252" w:lineRule="auto"/>
            </w:pPr>
            <w:r>
              <w:rPr>
                <w:rFonts w:ascii="Arial" w:hAnsi="Arial"/>
                <w:sz w:val="17"/>
              </w:rPr>
              <w:t>Label clearly as survey data.</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Benefit</w:t>
            </w:r>
          </w:p>
        </w:tc>
        <w:tc>
          <w:tcPr>
            <w:tcW w:type="dxa" w:w="3100"/>
            <w:vAlign w:val="center"/>
            <w:tcMar>
              <w:top w:w="80" w:type="dxa"/>
              <w:start w:w="120" w:type="dxa"/>
              <w:bottom w:w="80" w:type="dxa"/>
              <w:end w:w="120" w:type="dxa"/>
            </w:tcMar>
          </w:tcPr>
          <w:p>
            <w:pPr>
              <w:spacing w:after="0" w:line="252" w:lineRule="auto"/>
            </w:pPr>
            <w:r>
              <w:rPr>
                <w:rFonts w:ascii="Arial" w:hAnsi="Arial"/>
                <w:sz w:val="17"/>
              </w:rPr>
              <w:t>Mean weight loss in STEP 1 was 14.9% with semaglutide 2.4 mg vs 2.4% placebo at 68 weeks.</w:t>
            </w:r>
          </w:p>
        </w:tc>
        <w:tc>
          <w:tcPr>
            <w:tcW w:type="dxa" w:w="1450"/>
            <w:vAlign w:val="center"/>
            <w:tcMar>
              <w:top w:w="80" w:type="dxa"/>
              <w:start w:w="120" w:type="dxa"/>
              <w:bottom w:w="80" w:type="dxa"/>
              <w:end w:w="120" w:type="dxa"/>
            </w:tcMar>
          </w:tcPr>
          <w:p>
            <w:pPr>
              <w:spacing w:after="0" w:line="252" w:lineRule="auto"/>
            </w:pPr>
            <w:r>
              <w:rPr>
                <w:rFonts w:ascii="Arial" w:hAnsi="Arial"/>
                <w:sz w:val="17"/>
              </w:rPr>
              <w:t>STEP 1 [1]</w:t>
            </w:r>
          </w:p>
        </w:tc>
        <w:tc>
          <w:tcPr>
            <w:tcW w:type="dxa" w:w="1200"/>
            <w:vAlign w:val="center"/>
            <w:tcMar>
              <w:top w:w="80" w:type="dxa"/>
              <w:start w:w="120" w:type="dxa"/>
              <w:bottom w:w="80" w:type="dxa"/>
              <w:end w:w="120" w:type="dxa"/>
            </w:tcMar>
          </w:tcPr>
          <w:p>
            <w:pPr>
              <w:spacing w:after="0" w:line="252" w:lineRule="auto"/>
            </w:pPr>
            <w:r>
              <w:rPr>
                <w:rFonts w:ascii="Arial" w:hAnsi="Arial"/>
                <w:sz w:val="17"/>
              </w:rPr>
              <w:t>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State adults without diabetes plus lifestyle.</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Benefit</w:t>
            </w:r>
          </w:p>
        </w:tc>
        <w:tc>
          <w:tcPr>
            <w:tcW w:type="dxa" w:w="3100"/>
            <w:vAlign w:val="center"/>
            <w:tcMar>
              <w:top w:w="80" w:type="dxa"/>
              <w:start w:w="120" w:type="dxa"/>
              <w:bottom w:w="80" w:type="dxa"/>
              <w:end w:w="120" w:type="dxa"/>
            </w:tcMar>
          </w:tcPr>
          <w:p>
            <w:pPr>
              <w:spacing w:after="0" w:line="252" w:lineRule="auto"/>
            </w:pPr>
            <w:r>
              <w:rPr>
                <w:rFonts w:ascii="Arial" w:hAnsi="Arial"/>
                <w:sz w:val="17"/>
              </w:rPr>
              <w:t>Mean weight loss reached 20.9% with tirzepatide 15 mg vs 3.1% placebo at 72 weeks.</w:t>
            </w:r>
          </w:p>
        </w:tc>
        <w:tc>
          <w:tcPr>
            <w:tcW w:type="dxa" w:w="1450"/>
            <w:vAlign w:val="center"/>
            <w:tcMar>
              <w:top w:w="80" w:type="dxa"/>
              <w:start w:w="120" w:type="dxa"/>
              <w:bottom w:w="80" w:type="dxa"/>
              <w:end w:w="120" w:type="dxa"/>
            </w:tcMar>
          </w:tcPr>
          <w:p>
            <w:pPr>
              <w:spacing w:after="0" w:line="252" w:lineRule="auto"/>
            </w:pPr>
            <w:r>
              <w:rPr>
                <w:rFonts w:ascii="Arial" w:hAnsi="Arial"/>
                <w:sz w:val="17"/>
              </w:rPr>
              <w:t>SURMOUNT-1 [2]</w:t>
            </w:r>
          </w:p>
        </w:tc>
        <w:tc>
          <w:tcPr>
            <w:tcW w:type="dxa" w:w="1200"/>
            <w:vAlign w:val="center"/>
            <w:tcMar>
              <w:top w:w="80" w:type="dxa"/>
              <w:start w:w="120" w:type="dxa"/>
              <w:bottom w:w="80" w:type="dxa"/>
              <w:end w:w="120" w:type="dxa"/>
            </w:tcMar>
          </w:tcPr>
          <w:p>
            <w:pPr>
              <w:spacing w:after="0" w:line="252" w:lineRule="auto"/>
            </w:pPr>
            <w:r>
              <w:rPr>
                <w:rFonts w:ascii="Arial" w:hAnsi="Arial"/>
                <w:sz w:val="17"/>
              </w:rPr>
              <w:t>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Trial average, not typical guarantee.</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Benefit</w:t>
            </w:r>
          </w:p>
        </w:tc>
        <w:tc>
          <w:tcPr>
            <w:tcW w:type="dxa" w:w="3100"/>
            <w:vAlign w:val="center"/>
            <w:tcMar>
              <w:top w:w="80" w:type="dxa"/>
              <w:start w:w="120" w:type="dxa"/>
              <w:bottom w:w="80" w:type="dxa"/>
              <w:end w:w="120" w:type="dxa"/>
            </w:tcMar>
          </w:tcPr>
          <w:p>
            <w:pPr>
              <w:spacing w:after="0" w:line="252" w:lineRule="auto"/>
            </w:pPr>
            <w:r>
              <w:rPr>
                <w:rFonts w:ascii="Arial" w:hAnsi="Arial"/>
                <w:sz w:val="17"/>
              </w:rPr>
              <w:t>SELECT showed a 20% relative reduction in major cardiovascular events: 6.5% vs 8.0%.</w:t>
            </w:r>
          </w:p>
        </w:tc>
        <w:tc>
          <w:tcPr>
            <w:tcW w:type="dxa" w:w="1450"/>
            <w:vAlign w:val="center"/>
            <w:tcMar>
              <w:top w:w="80" w:type="dxa"/>
              <w:start w:w="120" w:type="dxa"/>
              <w:bottom w:w="80" w:type="dxa"/>
              <w:end w:w="120" w:type="dxa"/>
            </w:tcMar>
          </w:tcPr>
          <w:p>
            <w:pPr>
              <w:spacing w:after="0" w:line="252" w:lineRule="auto"/>
            </w:pPr>
            <w:r>
              <w:rPr>
                <w:rFonts w:ascii="Arial" w:hAnsi="Arial"/>
                <w:sz w:val="17"/>
              </w:rPr>
              <w:t>SELECT [3]</w:t>
            </w:r>
          </w:p>
        </w:tc>
        <w:tc>
          <w:tcPr>
            <w:tcW w:type="dxa" w:w="1200"/>
            <w:vAlign w:val="center"/>
            <w:tcMar>
              <w:top w:w="80" w:type="dxa"/>
              <w:start w:w="120" w:type="dxa"/>
              <w:bottom w:w="80" w:type="dxa"/>
              <w:end w:w="120" w:type="dxa"/>
            </w:tcMar>
          </w:tcPr>
          <w:p>
            <w:pPr>
              <w:spacing w:after="0" w:line="252" w:lineRule="auto"/>
            </w:pPr>
            <w:r>
              <w:rPr>
                <w:rFonts w:ascii="Arial" w:hAnsi="Arial"/>
                <w:sz w:val="17"/>
              </w:rPr>
              <w:t>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Only established CVD, no diabetes.</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Benefit</w:t>
            </w:r>
          </w:p>
        </w:tc>
        <w:tc>
          <w:tcPr>
            <w:tcW w:type="dxa" w:w="3100"/>
            <w:vAlign w:val="center"/>
            <w:tcMar>
              <w:top w:w="80" w:type="dxa"/>
              <w:start w:w="120" w:type="dxa"/>
              <w:bottom w:w="80" w:type="dxa"/>
              <w:end w:w="120" w:type="dxa"/>
            </w:tcMar>
          </w:tcPr>
          <w:p>
            <w:pPr>
              <w:spacing w:after="0" w:line="252" w:lineRule="auto"/>
            </w:pPr>
            <w:r>
              <w:rPr>
                <w:rFonts w:ascii="Arial" w:hAnsi="Arial"/>
                <w:sz w:val="17"/>
              </w:rPr>
              <w:t>Semaglutide weight reduction averaged 10.2% at four years in SELECT vs 1.5% placebo.</w:t>
            </w:r>
          </w:p>
        </w:tc>
        <w:tc>
          <w:tcPr>
            <w:tcW w:type="dxa" w:w="1450"/>
            <w:vAlign w:val="center"/>
            <w:tcMar>
              <w:top w:w="80" w:type="dxa"/>
              <w:start w:w="120" w:type="dxa"/>
              <w:bottom w:w="80" w:type="dxa"/>
              <w:end w:w="120" w:type="dxa"/>
            </w:tcMar>
          </w:tcPr>
          <w:p>
            <w:pPr>
              <w:spacing w:after="0" w:line="252" w:lineRule="auto"/>
            </w:pPr>
            <w:r>
              <w:rPr>
                <w:rFonts w:ascii="Arial" w:hAnsi="Arial"/>
                <w:sz w:val="17"/>
              </w:rPr>
              <w:t>SELECT analysis [4]</w:t>
            </w:r>
          </w:p>
        </w:tc>
        <w:tc>
          <w:tcPr>
            <w:tcW w:type="dxa" w:w="1200"/>
            <w:vAlign w:val="center"/>
            <w:tcMar>
              <w:top w:w="80" w:type="dxa"/>
              <w:start w:w="120" w:type="dxa"/>
              <w:bottom w:w="80" w:type="dxa"/>
              <w:end w:w="120" w:type="dxa"/>
            </w:tcMar>
          </w:tcPr>
          <w:p>
            <w:pPr>
              <w:spacing w:after="0" w:line="252" w:lineRule="auto"/>
            </w:pPr>
            <w:r>
              <w:rPr>
                <w:rFonts w:ascii="Arial" w:hAnsi="Arial"/>
                <w:sz w:val="17"/>
              </w:rPr>
              <w:t>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Different population from STEP 1.</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Benefit</w:t>
            </w:r>
          </w:p>
        </w:tc>
        <w:tc>
          <w:tcPr>
            <w:tcW w:type="dxa" w:w="3100"/>
            <w:vAlign w:val="center"/>
            <w:tcMar>
              <w:top w:w="80" w:type="dxa"/>
              <w:start w:w="120" w:type="dxa"/>
              <w:bottom w:w="80" w:type="dxa"/>
              <w:end w:w="120" w:type="dxa"/>
            </w:tcMar>
          </w:tcPr>
          <w:p>
            <w:pPr>
              <w:spacing w:after="0" w:line="252" w:lineRule="auto"/>
            </w:pPr>
            <w:r>
              <w:rPr>
                <w:rFonts w:ascii="Arial" w:hAnsi="Arial"/>
                <w:sz w:val="17"/>
              </w:rPr>
              <w:t>FLOW reported a 24% lower relative risk of its kidney/CV primary outcome.</w:t>
            </w:r>
          </w:p>
        </w:tc>
        <w:tc>
          <w:tcPr>
            <w:tcW w:type="dxa" w:w="1450"/>
            <w:vAlign w:val="center"/>
            <w:tcMar>
              <w:top w:w="80" w:type="dxa"/>
              <w:start w:w="120" w:type="dxa"/>
              <w:bottom w:w="80" w:type="dxa"/>
              <w:end w:w="120" w:type="dxa"/>
            </w:tcMar>
          </w:tcPr>
          <w:p>
            <w:pPr>
              <w:spacing w:after="0" w:line="252" w:lineRule="auto"/>
            </w:pPr>
            <w:r>
              <w:rPr>
                <w:rFonts w:ascii="Arial" w:hAnsi="Arial"/>
                <w:sz w:val="17"/>
              </w:rPr>
              <w:t>FLOW [6]</w:t>
            </w:r>
          </w:p>
        </w:tc>
        <w:tc>
          <w:tcPr>
            <w:tcW w:type="dxa" w:w="1200"/>
            <w:vAlign w:val="center"/>
            <w:tcMar>
              <w:top w:w="80" w:type="dxa"/>
              <w:start w:w="120" w:type="dxa"/>
              <w:bottom w:w="80" w:type="dxa"/>
              <w:end w:w="120" w:type="dxa"/>
            </w:tcMar>
          </w:tcPr>
          <w:p>
            <w:pPr>
              <w:spacing w:after="0" w:line="252" w:lineRule="auto"/>
            </w:pPr>
            <w:r>
              <w:rPr>
                <w:rFonts w:ascii="Arial" w:hAnsi="Arial"/>
                <w:sz w:val="17"/>
              </w:rPr>
              <w:t>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T2D + CKD only; medical content.</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Benefit</w:t>
            </w:r>
          </w:p>
        </w:tc>
        <w:tc>
          <w:tcPr>
            <w:tcW w:type="dxa" w:w="3100"/>
            <w:vAlign w:val="center"/>
            <w:tcMar>
              <w:top w:w="80" w:type="dxa"/>
              <w:start w:w="120" w:type="dxa"/>
              <w:bottom w:w="80" w:type="dxa"/>
              <w:end w:w="120" w:type="dxa"/>
            </w:tcMar>
          </w:tcPr>
          <w:p>
            <w:pPr>
              <w:spacing w:after="0" w:line="252" w:lineRule="auto"/>
            </w:pPr>
            <w:r>
              <w:rPr>
                <w:rFonts w:ascii="Arial" w:hAnsi="Arial"/>
                <w:sz w:val="17"/>
              </w:rPr>
              <w:t>Three-year tirzepatide reduced progression from prediabetes to diabetes by 94% relative to placebo.</w:t>
            </w:r>
          </w:p>
        </w:tc>
        <w:tc>
          <w:tcPr>
            <w:tcW w:type="dxa" w:w="1450"/>
            <w:vAlign w:val="center"/>
            <w:tcMar>
              <w:top w:w="80" w:type="dxa"/>
              <w:start w:w="120" w:type="dxa"/>
              <w:bottom w:w="80" w:type="dxa"/>
              <w:end w:w="120" w:type="dxa"/>
            </w:tcMar>
          </w:tcPr>
          <w:p>
            <w:pPr>
              <w:spacing w:after="0" w:line="252" w:lineRule="auto"/>
            </w:pPr>
            <w:r>
              <w:rPr>
                <w:rFonts w:ascii="Arial" w:hAnsi="Arial"/>
                <w:sz w:val="17"/>
              </w:rPr>
              <w:t>SURMOUNT-1 extension [8]</w:t>
            </w:r>
          </w:p>
        </w:tc>
        <w:tc>
          <w:tcPr>
            <w:tcW w:type="dxa" w:w="1200"/>
            <w:vAlign w:val="center"/>
            <w:tcMar>
              <w:top w:w="80" w:type="dxa"/>
              <w:start w:w="120" w:type="dxa"/>
              <w:bottom w:w="80" w:type="dxa"/>
              <w:end w:w="120" w:type="dxa"/>
            </w:tcMar>
          </w:tcPr>
          <w:p>
            <w:pPr>
              <w:spacing w:after="0" w:line="252" w:lineRule="auto"/>
            </w:pPr>
            <w:r>
              <w:rPr>
                <w:rFonts w:ascii="Arial" w:hAnsi="Arial"/>
                <w:sz w:val="17"/>
              </w:rPr>
              <w:t>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Obesity + prediabetes during treatment.</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Composition</w:t>
            </w:r>
          </w:p>
        </w:tc>
        <w:tc>
          <w:tcPr>
            <w:tcW w:type="dxa" w:w="3100"/>
            <w:vAlign w:val="center"/>
            <w:tcMar>
              <w:top w:w="80" w:type="dxa"/>
              <w:start w:w="120" w:type="dxa"/>
              <w:bottom w:w="80" w:type="dxa"/>
              <w:end w:w="120" w:type="dxa"/>
            </w:tcMar>
          </w:tcPr>
          <w:p>
            <w:pPr>
              <w:spacing w:after="0" w:line="252" w:lineRule="auto"/>
            </w:pPr>
            <w:r>
              <w:rPr>
                <w:rFonts w:ascii="Arial" w:hAnsi="Arial"/>
                <w:sz w:val="17"/>
              </w:rPr>
              <w:t>In STEP 1 DXA, fat mass fell 19.3%, visceral fat 27.4% and lean mass 9.7%.</w:t>
            </w:r>
          </w:p>
        </w:tc>
        <w:tc>
          <w:tcPr>
            <w:tcW w:type="dxa" w:w="1450"/>
            <w:vAlign w:val="center"/>
            <w:tcMar>
              <w:top w:w="80" w:type="dxa"/>
              <w:start w:w="120" w:type="dxa"/>
              <w:bottom w:w="80" w:type="dxa"/>
              <w:end w:w="120" w:type="dxa"/>
            </w:tcMar>
          </w:tcPr>
          <w:p>
            <w:pPr>
              <w:spacing w:after="0" w:line="252" w:lineRule="auto"/>
            </w:pPr>
            <w:r>
              <w:rPr>
                <w:rFonts w:ascii="Arial" w:hAnsi="Arial"/>
                <w:sz w:val="17"/>
              </w:rPr>
              <w:t>STEP 1 substudy [11]</w:t>
            </w:r>
          </w:p>
        </w:tc>
        <w:tc>
          <w:tcPr>
            <w:tcW w:type="dxa" w:w="1200"/>
            <w:vAlign w:val="center"/>
            <w:tcMar>
              <w:top w:w="80" w:type="dxa"/>
              <w:start w:w="120" w:type="dxa"/>
              <w:bottom w:w="80" w:type="dxa"/>
              <w:end w:w="120" w:type="dxa"/>
            </w:tcMar>
          </w:tcPr>
          <w:p>
            <w:pPr>
              <w:spacing w:after="0" w:line="252" w:lineRule="auto"/>
            </w:pPr>
            <w:r>
              <w:rPr>
                <w:rFonts w:ascii="Arial" w:hAnsi="Arial"/>
                <w:sz w:val="17"/>
              </w:rPr>
              <w:t>Moderate</w:t>
            </w:r>
          </w:p>
        </w:tc>
        <w:tc>
          <w:tcPr>
            <w:tcW w:type="dxa" w:w="2410"/>
            <w:vAlign w:val="center"/>
            <w:tcMar>
              <w:top w:w="80" w:type="dxa"/>
              <w:start w:w="120" w:type="dxa"/>
              <w:bottom w:w="80" w:type="dxa"/>
              <w:end w:w="120" w:type="dxa"/>
            </w:tcMar>
          </w:tcPr>
          <w:p>
            <w:pPr>
              <w:spacing w:after="0" w:line="252" w:lineRule="auto"/>
            </w:pPr>
            <w:r>
              <w:rPr>
                <w:rFonts w:ascii="Arial" w:hAnsi="Arial"/>
                <w:sz w:val="17"/>
              </w:rPr>
              <w:t>Small exploratory substudy; define lean mass.</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Composition</w:t>
            </w:r>
          </w:p>
        </w:tc>
        <w:tc>
          <w:tcPr>
            <w:tcW w:type="dxa" w:w="3100"/>
            <w:vAlign w:val="center"/>
            <w:tcMar>
              <w:top w:w="80" w:type="dxa"/>
              <w:start w:w="120" w:type="dxa"/>
              <w:bottom w:w="80" w:type="dxa"/>
              <w:end w:w="120" w:type="dxa"/>
            </w:tcMar>
          </w:tcPr>
          <w:p>
            <w:pPr>
              <w:spacing w:after="0" w:line="252" w:lineRule="auto"/>
            </w:pPr>
            <w:r>
              <w:rPr>
                <w:rFonts w:ascii="Arial" w:hAnsi="Arial"/>
                <w:sz w:val="17"/>
              </w:rPr>
              <w:t>In SURMOUNT-1 DXA, about 75% of lost weight was fat mass and 25% lean mass.</w:t>
            </w:r>
          </w:p>
        </w:tc>
        <w:tc>
          <w:tcPr>
            <w:tcW w:type="dxa" w:w="1450"/>
            <w:vAlign w:val="center"/>
            <w:tcMar>
              <w:top w:w="80" w:type="dxa"/>
              <w:start w:w="120" w:type="dxa"/>
              <w:bottom w:w="80" w:type="dxa"/>
              <w:end w:w="120" w:type="dxa"/>
            </w:tcMar>
          </w:tcPr>
          <w:p>
            <w:pPr>
              <w:spacing w:after="0" w:line="252" w:lineRule="auto"/>
            </w:pPr>
            <w:r>
              <w:rPr>
                <w:rFonts w:ascii="Arial" w:hAnsi="Arial"/>
                <w:sz w:val="17"/>
              </w:rPr>
              <w:t>SURMOUNT-1 substudy [12]</w:t>
            </w:r>
          </w:p>
        </w:tc>
        <w:tc>
          <w:tcPr>
            <w:tcW w:type="dxa" w:w="1200"/>
            <w:vAlign w:val="center"/>
            <w:tcMar>
              <w:top w:w="80" w:type="dxa"/>
              <w:start w:w="120" w:type="dxa"/>
              <w:bottom w:w="80" w:type="dxa"/>
              <w:end w:w="120" w:type="dxa"/>
            </w:tcMar>
          </w:tcPr>
          <w:p>
            <w:pPr>
              <w:spacing w:after="0" w:line="252" w:lineRule="auto"/>
            </w:pPr>
            <w:r>
              <w:rPr>
                <w:rFonts w:ascii="Arial" w:hAnsi="Arial"/>
                <w:sz w:val="17"/>
              </w:rPr>
              <w:t>Moderate-high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Do not call all lean mass muscle.</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Composition</w:t>
            </w:r>
          </w:p>
        </w:tc>
        <w:tc>
          <w:tcPr>
            <w:tcW w:type="dxa" w:w="3100"/>
            <w:vAlign w:val="center"/>
            <w:tcMar>
              <w:top w:w="80" w:type="dxa"/>
              <w:start w:w="120" w:type="dxa"/>
              <w:bottom w:w="80" w:type="dxa"/>
              <w:end w:w="120" w:type="dxa"/>
            </w:tcMar>
          </w:tcPr>
          <w:p>
            <w:pPr>
              <w:spacing w:after="0" w:line="252" w:lineRule="auto"/>
            </w:pPr>
            <w:r>
              <w:rPr>
                <w:rFonts w:ascii="Arial" w:hAnsi="Arial"/>
                <w:sz w:val="17"/>
              </w:rPr>
              <w:t>A 22-trial meta-analysis estimated lean mass at roughly 25% of total weight lost.</w:t>
            </w:r>
          </w:p>
        </w:tc>
        <w:tc>
          <w:tcPr>
            <w:tcW w:type="dxa" w:w="1450"/>
            <w:vAlign w:val="center"/>
            <w:tcMar>
              <w:top w:w="80" w:type="dxa"/>
              <w:start w:w="120" w:type="dxa"/>
              <w:bottom w:w="80" w:type="dxa"/>
              <w:end w:w="120" w:type="dxa"/>
            </w:tcMar>
          </w:tcPr>
          <w:p>
            <w:pPr>
              <w:spacing w:after="0" w:line="252" w:lineRule="auto"/>
            </w:pPr>
            <w:r>
              <w:rPr>
                <w:rFonts w:ascii="Arial" w:hAnsi="Arial"/>
                <w:sz w:val="17"/>
              </w:rPr>
              <w:t>Karakasis et al. [13]</w:t>
            </w:r>
          </w:p>
        </w:tc>
        <w:tc>
          <w:tcPr>
            <w:tcW w:type="dxa" w:w="1200"/>
            <w:vAlign w:val="center"/>
            <w:tcMar>
              <w:top w:w="80" w:type="dxa"/>
              <w:start w:w="120" w:type="dxa"/>
              <w:bottom w:w="80" w:type="dxa"/>
              <w:end w:w="120" w:type="dxa"/>
            </w:tcMar>
          </w:tcPr>
          <w:p>
            <w:pPr>
              <w:spacing w:after="0" w:line="252" w:lineRule="auto"/>
            </w:pPr>
            <w:r>
              <w:rPr>
                <w:rFonts w:ascii="Arial" w:hAnsi="Arial"/>
                <w:sz w:val="17"/>
              </w:rPr>
              <w:t>Moderate-high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Heterogeneous drugs and methods.</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Appetite</w:t>
            </w:r>
          </w:p>
        </w:tc>
        <w:tc>
          <w:tcPr>
            <w:tcW w:type="dxa" w:w="3100"/>
            <w:vAlign w:val="center"/>
            <w:tcMar>
              <w:top w:w="80" w:type="dxa"/>
              <w:start w:w="120" w:type="dxa"/>
              <w:bottom w:w="80" w:type="dxa"/>
              <w:end w:w="120" w:type="dxa"/>
            </w:tcMar>
          </w:tcPr>
          <w:p>
            <w:pPr>
              <w:spacing w:after="0" w:line="252" w:lineRule="auto"/>
            </w:pPr>
            <w:r>
              <w:rPr>
                <w:rFonts w:ascii="Arial" w:hAnsi="Arial"/>
                <w:sz w:val="17"/>
              </w:rPr>
              <w:t>Semaglutide reduced ad libitum daily energy intake by 24% in a 12-week crossover study.</w:t>
            </w:r>
          </w:p>
        </w:tc>
        <w:tc>
          <w:tcPr>
            <w:tcW w:type="dxa" w:w="1450"/>
            <w:vAlign w:val="center"/>
            <w:tcMar>
              <w:top w:w="80" w:type="dxa"/>
              <w:start w:w="120" w:type="dxa"/>
              <w:bottom w:w="80" w:type="dxa"/>
              <w:end w:w="120" w:type="dxa"/>
            </w:tcMar>
          </w:tcPr>
          <w:p>
            <w:pPr>
              <w:spacing w:after="0" w:line="252" w:lineRule="auto"/>
            </w:pPr>
            <w:r>
              <w:rPr>
                <w:rFonts w:ascii="Arial" w:hAnsi="Arial"/>
                <w:sz w:val="17"/>
              </w:rPr>
              <w:t>Blundell et al. [19]</w:t>
            </w:r>
          </w:p>
        </w:tc>
        <w:tc>
          <w:tcPr>
            <w:tcW w:type="dxa" w:w="1200"/>
            <w:vAlign w:val="center"/>
            <w:tcMar>
              <w:top w:w="80" w:type="dxa"/>
              <w:start w:w="120" w:type="dxa"/>
              <w:bottom w:w="80" w:type="dxa"/>
              <w:end w:w="120" w:type="dxa"/>
            </w:tcMar>
          </w:tcPr>
          <w:p>
            <w:pPr>
              <w:spacing w:after="0" w:line="252" w:lineRule="auto"/>
            </w:pPr>
            <w:r>
              <w:rPr>
                <w:rFonts w:ascii="Arial" w:hAnsi="Arial"/>
                <w:sz w:val="17"/>
              </w:rPr>
              <w:t>Moderate</w:t>
            </w:r>
          </w:p>
        </w:tc>
        <w:tc>
          <w:tcPr>
            <w:tcW w:type="dxa" w:w="2410"/>
            <w:vAlign w:val="center"/>
            <w:tcMar>
              <w:top w:w="80" w:type="dxa"/>
              <w:start w:w="120" w:type="dxa"/>
              <w:bottom w:w="80" w:type="dxa"/>
              <w:end w:w="120" w:type="dxa"/>
            </w:tcMar>
          </w:tcPr>
          <w:p>
            <w:pPr>
              <w:spacing w:after="0" w:line="252" w:lineRule="auto"/>
            </w:pPr>
            <w:r>
              <w:rPr>
                <w:rFonts w:ascii="Arial" w:hAnsi="Arial"/>
                <w:sz w:val="17"/>
              </w:rPr>
              <w:t>Small mechanistic trial; not long-term prediction.</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Appetite</w:t>
            </w:r>
          </w:p>
        </w:tc>
        <w:tc>
          <w:tcPr>
            <w:tcW w:type="dxa" w:w="3100"/>
            <w:vAlign w:val="center"/>
            <w:tcMar>
              <w:top w:w="80" w:type="dxa"/>
              <w:start w:w="120" w:type="dxa"/>
              <w:bottom w:w="80" w:type="dxa"/>
              <w:end w:w="120" w:type="dxa"/>
            </w:tcMar>
          </w:tcPr>
          <w:p>
            <w:pPr>
              <w:spacing w:after="0" w:line="252" w:lineRule="auto"/>
            </w:pPr>
            <w:r>
              <w:rPr>
                <w:rFonts w:ascii="Arial" w:hAnsi="Arial"/>
                <w:sz w:val="17"/>
              </w:rPr>
              <w:t>A separate semaglutide 2.4 mg trial found 35% lower ad libitum energy intake vs placebo.</w:t>
            </w:r>
          </w:p>
        </w:tc>
        <w:tc>
          <w:tcPr>
            <w:tcW w:type="dxa" w:w="1450"/>
            <w:vAlign w:val="center"/>
            <w:tcMar>
              <w:top w:w="80" w:type="dxa"/>
              <w:start w:w="120" w:type="dxa"/>
              <w:bottom w:w="80" w:type="dxa"/>
              <w:end w:w="120" w:type="dxa"/>
            </w:tcMar>
          </w:tcPr>
          <w:p>
            <w:pPr>
              <w:spacing w:after="0" w:line="252" w:lineRule="auto"/>
            </w:pPr>
            <w:r>
              <w:rPr>
                <w:rFonts w:ascii="Arial" w:hAnsi="Arial"/>
                <w:sz w:val="17"/>
              </w:rPr>
              <w:t>Friedrichsen et al. [20]</w:t>
            </w:r>
          </w:p>
        </w:tc>
        <w:tc>
          <w:tcPr>
            <w:tcW w:type="dxa" w:w="1200"/>
            <w:vAlign w:val="center"/>
            <w:tcMar>
              <w:top w:w="80" w:type="dxa"/>
              <w:start w:w="120" w:type="dxa"/>
              <w:bottom w:w="80" w:type="dxa"/>
              <w:end w:w="120" w:type="dxa"/>
            </w:tcMar>
          </w:tcPr>
          <w:p>
            <w:pPr>
              <w:spacing w:after="0" w:line="252" w:lineRule="auto"/>
            </w:pPr>
            <w:r>
              <w:rPr>
                <w:rFonts w:ascii="Arial" w:hAnsi="Arial"/>
                <w:sz w:val="17"/>
              </w:rPr>
              <w:t>Moderate</w:t>
            </w:r>
          </w:p>
        </w:tc>
        <w:tc>
          <w:tcPr>
            <w:tcW w:type="dxa" w:w="2410"/>
            <w:vAlign w:val="center"/>
            <w:tcMar>
              <w:top w:w="80" w:type="dxa"/>
              <w:start w:w="120" w:type="dxa"/>
              <w:bottom w:w="80" w:type="dxa"/>
              <w:end w:w="120" w:type="dxa"/>
            </w:tcMar>
          </w:tcPr>
          <w:p>
            <w:pPr>
              <w:spacing w:after="0" w:line="252" w:lineRule="auto"/>
            </w:pPr>
            <w:r>
              <w:rPr>
                <w:rFonts w:ascii="Arial" w:hAnsi="Arial"/>
                <w:sz w:val="17"/>
              </w:rPr>
              <w:t>Specific controlled setting.</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Exercise</w:t>
            </w:r>
          </w:p>
        </w:tc>
        <w:tc>
          <w:tcPr>
            <w:tcW w:type="dxa" w:w="3100"/>
            <w:vAlign w:val="center"/>
            <w:tcMar>
              <w:top w:w="80" w:type="dxa"/>
              <w:start w:w="120" w:type="dxa"/>
              <w:bottom w:w="80" w:type="dxa"/>
              <w:end w:w="120" w:type="dxa"/>
            </w:tcMar>
          </w:tcPr>
          <w:p>
            <w:pPr>
              <w:spacing w:after="0" w:line="252" w:lineRule="auto"/>
            </w:pPr>
            <w:r>
              <w:rPr>
                <w:rFonts w:ascii="Arial" w:hAnsi="Arial"/>
                <w:sz w:val="17"/>
              </w:rPr>
              <w:t>Resistance training reduced lean-mass loss during weight loss by about 0.8 kg in an overview of reviews.</w:t>
            </w:r>
          </w:p>
        </w:tc>
        <w:tc>
          <w:tcPr>
            <w:tcW w:type="dxa" w:w="1450"/>
            <w:vAlign w:val="center"/>
            <w:tcMar>
              <w:top w:w="80" w:type="dxa"/>
              <w:start w:w="120" w:type="dxa"/>
              <w:bottom w:w="80" w:type="dxa"/>
              <w:end w:w="120" w:type="dxa"/>
            </w:tcMar>
          </w:tcPr>
          <w:p>
            <w:pPr>
              <w:spacing w:after="0" w:line="252" w:lineRule="auto"/>
            </w:pPr>
            <w:r>
              <w:rPr>
                <w:rFonts w:ascii="Arial" w:hAnsi="Arial"/>
                <w:sz w:val="17"/>
              </w:rPr>
              <w:t>Bellicha et al. [21]</w:t>
            </w:r>
          </w:p>
        </w:tc>
        <w:tc>
          <w:tcPr>
            <w:tcW w:type="dxa" w:w="1200"/>
            <w:vAlign w:val="center"/>
            <w:tcMar>
              <w:top w:w="80" w:type="dxa"/>
              <w:start w:w="120" w:type="dxa"/>
              <w:bottom w:w="80" w:type="dxa"/>
              <w:end w:w="120" w:type="dxa"/>
            </w:tcMar>
          </w:tcPr>
          <w:p>
            <w:pPr>
              <w:spacing w:after="0" w:line="252" w:lineRule="auto"/>
            </w:pPr>
            <w:r>
              <w:rPr>
                <w:rFonts w:ascii="Arial" w:hAnsi="Arial"/>
                <w:sz w:val="17"/>
              </w:rPr>
              <w:t>Moderate-high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General weight-loss evidence, not GLP-1-specific.</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Bone</w:t>
            </w:r>
          </w:p>
        </w:tc>
        <w:tc>
          <w:tcPr>
            <w:tcW w:type="dxa" w:w="3100"/>
            <w:vAlign w:val="center"/>
            <w:tcMar>
              <w:top w:w="80" w:type="dxa"/>
              <w:start w:w="120" w:type="dxa"/>
              <w:bottom w:w="80" w:type="dxa"/>
              <w:end w:w="120" w:type="dxa"/>
            </w:tcMar>
          </w:tcPr>
          <w:p>
            <w:pPr>
              <w:spacing w:after="0" w:line="252" w:lineRule="auto"/>
            </w:pPr>
            <w:r>
              <w:rPr>
                <w:rFonts w:ascii="Arial" w:hAnsi="Arial"/>
                <w:sz w:val="17"/>
              </w:rPr>
              <w:t>During ~10% weight loss in older adults, hip BMD fell 0.7% with resistance, 1.1% combined, 2.6% aerobic exercise.</w:t>
            </w:r>
          </w:p>
        </w:tc>
        <w:tc>
          <w:tcPr>
            <w:tcW w:type="dxa" w:w="1450"/>
            <w:vAlign w:val="center"/>
            <w:tcMar>
              <w:top w:w="80" w:type="dxa"/>
              <w:start w:w="120" w:type="dxa"/>
              <w:bottom w:w="80" w:type="dxa"/>
              <w:end w:w="120" w:type="dxa"/>
            </w:tcMar>
          </w:tcPr>
          <w:p>
            <w:pPr>
              <w:spacing w:after="0" w:line="252" w:lineRule="auto"/>
            </w:pPr>
            <w:r>
              <w:rPr>
                <w:rFonts w:ascii="Arial" w:hAnsi="Arial"/>
                <w:sz w:val="17"/>
              </w:rPr>
              <w:t>Armamento-Villareal [23]</w:t>
            </w:r>
          </w:p>
        </w:tc>
        <w:tc>
          <w:tcPr>
            <w:tcW w:type="dxa" w:w="1200"/>
            <w:vAlign w:val="center"/>
            <w:tcMar>
              <w:top w:w="80" w:type="dxa"/>
              <w:start w:w="120" w:type="dxa"/>
              <w:bottom w:w="80" w:type="dxa"/>
              <w:end w:w="120" w:type="dxa"/>
            </w:tcMar>
          </w:tcPr>
          <w:p>
            <w:pPr>
              <w:spacing w:after="0" w:line="252" w:lineRule="auto"/>
            </w:pPr>
            <w:r>
              <w:rPr>
                <w:rFonts w:ascii="Arial" w:hAnsi="Arial"/>
                <w:sz w:val="17"/>
              </w:rPr>
              <w:t>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Older adults; avoid universal extrapolation.</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Protein</w:t>
            </w:r>
          </w:p>
        </w:tc>
        <w:tc>
          <w:tcPr>
            <w:tcW w:type="dxa" w:w="3100"/>
            <w:vAlign w:val="center"/>
            <w:tcMar>
              <w:top w:w="80" w:type="dxa"/>
              <w:start w:w="120" w:type="dxa"/>
              <w:bottom w:w="80" w:type="dxa"/>
              <w:end w:w="120" w:type="dxa"/>
            </w:tcMar>
          </w:tcPr>
          <w:p>
            <w:pPr>
              <w:spacing w:after="0" w:line="252" w:lineRule="auto"/>
            </w:pPr>
            <w:r>
              <w:rPr>
                <w:rFonts w:ascii="Arial" w:hAnsi="Arial"/>
                <w:sz w:val="17"/>
              </w:rPr>
              <w:t>Reviews support roughly 1.2-1.6 g/kg/day and 25-30 g per meal for many active weight-loss contexts.</w:t>
            </w:r>
          </w:p>
        </w:tc>
        <w:tc>
          <w:tcPr>
            <w:tcW w:type="dxa" w:w="1450"/>
            <w:vAlign w:val="center"/>
            <w:tcMar>
              <w:top w:w="80" w:type="dxa"/>
              <w:start w:w="120" w:type="dxa"/>
              <w:bottom w:w="80" w:type="dxa"/>
              <w:end w:w="120" w:type="dxa"/>
            </w:tcMar>
          </w:tcPr>
          <w:p>
            <w:pPr>
              <w:spacing w:after="0" w:line="252" w:lineRule="auto"/>
            </w:pPr>
            <w:r>
              <w:rPr>
                <w:rFonts w:ascii="Arial" w:hAnsi="Arial"/>
                <w:sz w:val="17"/>
              </w:rPr>
              <w:t>Leidy/Nunes [24,25]</w:t>
            </w:r>
          </w:p>
        </w:tc>
        <w:tc>
          <w:tcPr>
            <w:tcW w:type="dxa" w:w="1200"/>
            <w:vAlign w:val="center"/>
            <w:tcMar>
              <w:top w:w="80" w:type="dxa"/>
              <w:start w:w="120" w:type="dxa"/>
              <w:bottom w:w="80" w:type="dxa"/>
              <w:end w:w="120" w:type="dxa"/>
            </w:tcMar>
          </w:tcPr>
          <w:p>
            <w:pPr>
              <w:spacing w:after="0" w:line="252" w:lineRule="auto"/>
            </w:pPr>
            <w:r>
              <w:rPr>
                <w:rFonts w:ascii="Arial" w:hAnsi="Arial"/>
                <w:sz w:val="17"/>
              </w:rPr>
              <w:t>Moderate-high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Denominator and medical status must be individualized.</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Creatine</w:t>
            </w:r>
          </w:p>
        </w:tc>
        <w:tc>
          <w:tcPr>
            <w:tcW w:type="dxa" w:w="3100"/>
            <w:vAlign w:val="center"/>
            <w:tcMar>
              <w:top w:w="80" w:type="dxa"/>
              <w:start w:w="120" w:type="dxa"/>
              <w:bottom w:w="80" w:type="dxa"/>
              <w:end w:w="120" w:type="dxa"/>
            </w:tcMar>
          </w:tcPr>
          <w:p>
            <w:pPr>
              <w:spacing w:after="0" w:line="252" w:lineRule="auto"/>
            </w:pPr>
            <w:r>
              <w:rPr>
                <w:rFonts w:ascii="Arial" w:hAnsi="Arial"/>
                <w:sz w:val="17"/>
              </w:rPr>
              <w:t>Creatine plus resistance training added about 1.14 kg of DEXA lean mass in one 2024 meta-analysis.</w:t>
            </w:r>
          </w:p>
        </w:tc>
        <w:tc>
          <w:tcPr>
            <w:tcW w:type="dxa" w:w="1450"/>
            <w:vAlign w:val="center"/>
            <w:tcMar>
              <w:top w:w="80" w:type="dxa"/>
              <w:start w:w="120" w:type="dxa"/>
              <w:bottom w:w="80" w:type="dxa"/>
              <w:end w:w="120" w:type="dxa"/>
            </w:tcMar>
          </w:tcPr>
          <w:p>
            <w:pPr>
              <w:spacing w:after="0" w:line="252" w:lineRule="auto"/>
            </w:pPr>
            <w:r>
              <w:rPr>
                <w:rFonts w:ascii="Arial" w:hAnsi="Arial"/>
                <w:sz w:val="17"/>
              </w:rPr>
              <w:t>Desai et al. [29]</w:t>
            </w:r>
          </w:p>
        </w:tc>
        <w:tc>
          <w:tcPr>
            <w:tcW w:type="dxa" w:w="1200"/>
            <w:vAlign w:val="center"/>
            <w:tcMar>
              <w:top w:w="80" w:type="dxa"/>
              <w:start w:w="120" w:type="dxa"/>
              <w:bottom w:w="80" w:type="dxa"/>
              <w:end w:w="120" w:type="dxa"/>
            </w:tcMar>
          </w:tcPr>
          <w:p>
            <w:pPr>
              <w:spacing w:after="0" w:line="252" w:lineRule="auto"/>
            </w:pPr>
            <w:r>
              <w:rPr>
                <w:rFonts w:ascii="Arial" w:hAnsi="Arial"/>
                <w:sz w:val="17"/>
              </w:rPr>
              <w:t>Moderate</w:t>
            </w:r>
          </w:p>
        </w:tc>
        <w:tc>
          <w:tcPr>
            <w:tcW w:type="dxa" w:w="2410"/>
            <w:vAlign w:val="center"/>
            <w:tcMar>
              <w:top w:w="80" w:type="dxa"/>
              <w:start w:w="120" w:type="dxa"/>
              <w:bottom w:w="80" w:type="dxa"/>
              <w:end w:w="120" w:type="dxa"/>
            </w:tcMar>
          </w:tcPr>
          <w:p>
            <w:pPr>
              <w:spacing w:after="0" w:line="252" w:lineRule="auto"/>
            </w:pPr>
            <w:r>
              <w:rPr>
                <w:rFonts w:ascii="Arial" w:hAnsi="Arial"/>
                <w:sz w:val="17"/>
              </w:rPr>
              <w:t>Water contributes; not GLP-1-specific.</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GI</w:t>
            </w:r>
          </w:p>
        </w:tc>
        <w:tc>
          <w:tcPr>
            <w:tcW w:type="dxa" w:w="3100"/>
            <w:vAlign w:val="center"/>
            <w:tcMar>
              <w:top w:w="80" w:type="dxa"/>
              <w:start w:w="120" w:type="dxa"/>
              <w:bottom w:w="80" w:type="dxa"/>
              <w:end w:w="120" w:type="dxa"/>
            </w:tcMar>
          </w:tcPr>
          <w:p>
            <w:pPr>
              <w:spacing w:after="0" w:line="252" w:lineRule="auto"/>
            </w:pPr>
            <w:r>
              <w:rPr>
                <w:rFonts w:ascii="Arial" w:hAnsi="Arial"/>
                <w:sz w:val="17"/>
              </w:rPr>
              <w:t>Wegovy 2.4 mg adult trials: nausea 44%, diarrhea 30%, vomiting 24%, constipation 24%.</w:t>
            </w:r>
          </w:p>
        </w:tc>
        <w:tc>
          <w:tcPr>
            <w:tcW w:type="dxa" w:w="1450"/>
            <w:vAlign w:val="center"/>
            <w:tcMar>
              <w:top w:w="80" w:type="dxa"/>
              <w:start w:w="120" w:type="dxa"/>
              <w:bottom w:w="80" w:type="dxa"/>
              <w:end w:w="120" w:type="dxa"/>
            </w:tcMar>
          </w:tcPr>
          <w:p>
            <w:pPr>
              <w:spacing w:after="0" w:line="252" w:lineRule="auto"/>
            </w:pPr>
            <w:r>
              <w:rPr>
                <w:rFonts w:ascii="Arial" w:hAnsi="Arial"/>
                <w:sz w:val="17"/>
              </w:rPr>
              <w:t>FDA label [38]</w:t>
            </w:r>
          </w:p>
        </w:tc>
        <w:tc>
          <w:tcPr>
            <w:tcW w:type="dxa" w:w="1200"/>
            <w:vAlign w:val="center"/>
            <w:tcMar>
              <w:top w:w="80" w:type="dxa"/>
              <w:start w:w="120" w:type="dxa"/>
              <w:bottom w:w="80" w:type="dxa"/>
              <w:end w:w="120" w:type="dxa"/>
            </w:tcMar>
          </w:tcPr>
          <w:p>
            <w:pPr>
              <w:spacing w:after="0" w:line="252" w:lineRule="auto"/>
            </w:pPr>
            <w:r>
              <w:rPr>
                <w:rFonts w:ascii="Arial" w:hAnsi="Arial"/>
                <w:sz w:val="17"/>
              </w:rPr>
              <w:t>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Use current label and placebo context.</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GI</w:t>
            </w:r>
          </w:p>
        </w:tc>
        <w:tc>
          <w:tcPr>
            <w:tcW w:type="dxa" w:w="3100"/>
            <w:vAlign w:val="center"/>
            <w:tcMar>
              <w:top w:w="80" w:type="dxa"/>
              <w:start w:w="120" w:type="dxa"/>
              <w:bottom w:w="80" w:type="dxa"/>
              <w:end w:w="120" w:type="dxa"/>
            </w:tcMar>
          </w:tcPr>
          <w:p>
            <w:pPr>
              <w:spacing w:after="0" w:line="252" w:lineRule="auto"/>
            </w:pPr>
            <w:r>
              <w:rPr>
                <w:rFonts w:ascii="Arial" w:hAnsi="Arial"/>
                <w:sz w:val="17"/>
              </w:rPr>
              <w:t>Zepbound pooled trials: GI events 56% at each dose vs 30% placebo.</w:t>
            </w:r>
          </w:p>
        </w:tc>
        <w:tc>
          <w:tcPr>
            <w:tcW w:type="dxa" w:w="1450"/>
            <w:vAlign w:val="center"/>
            <w:tcMar>
              <w:top w:w="80" w:type="dxa"/>
              <w:start w:w="120" w:type="dxa"/>
              <w:bottom w:w="80" w:type="dxa"/>
              <w:end w:w="120" w:type="dxa"/>
            </w:tcMar>
          </w:tcPr>
          <w:p>
            <w:pPr>
              <w:spacing w:after="0" w:line="252" w:lineRule="auto"/>
            </w:pPr>
            <w:r>
              <w:rPr>
                <w:rFonts w:ascii="Arial" w:hAnsi="Arial"/>
                <w:sz w:val="17"/>
              </w:rPr>
              <w:t>FDA label [39]</w:t>
            </w:r>
          </w:p>
        </w:tc>
        <w:tc>
          <w:tcPr>
            <w:tcW w:type="dxa" w:w="1200"/>
            <w:vAlign w:val="center"/>
            <w:tcMar>
              <w:top w:w="80" w:type="dxa"/>
              <w:start w:w="120" w:type="dxa"/>
              <w:bottom w:w="80" w:type="dxa"/>
              <w:end w:w="120" w:type="dxa"/>
            </w:tcMar>
          </w:tcPr>
          <w:p>
            <w:pPr>
              <w:spacing w:after="0" w:line="252" w:lineRule="auto"/>
            </w:pPr>
            <w:r>
              <w:rPr>
                <w:rFonts w:ascii="Arial" w:hAnsi="Arial"/>
                <w:sz w:val="17"/>
              </w:rPr>
              <w:t>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Most during escalation and declined over time.</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Hair</w:t>
            </w:r>
          </w:p>
        </w:tc>
        <w:tc>
          <w:tcPr>
            <w:tcW w:type="dxa" w:w="3100"/>
            <w:vAlign w:val="center"/>
            <w:tcMar>
              <w:top w:w="80" w:type="dxa"/>
              <w:start w:w="120" w:type="dxa"/>
              <w:bottom w:w="80" w:type="dxa"/>
              <w:end w:w="120" w:type="dxa"/>
            </w:tcMar>
          </w:tcPr>
          <w:p>
            <w:pPr>
              <w:spacing w:after="0" w:line="252" w:lineRule="auto"/>
            </w:pPr>
            <w:r>
              <w:rPr>
                <w:rFonts w:ascii="Arial" w:hAnsi="Arial"/>
                <w:sz w:val="17"/>
              </w:rPr>
              <w:t>Wegovy trials reported hair loss in 3% vs 1% placebo.</w:t>
            </w:r>
          </w:p>
        </w:tc>
        <w:tc>
          <w:tcPr>
            <w:tcW w:type="dxa" w:w="1450"/>
            <w:vAlign w:val="center"/>
            <w:tcMar>
              <w:top w:w="80" w:type="dxa"/>
              <w:start w:w="120" w:type="dxa"/>
              <w:bottom w:w="80" w:type="dxa"/>
              <w:end w:w="120" w:type="dxa"/>
            </w:tcMar>
          </w:tcPr>
          <w:p>
            <w:pPr>
              <w:spacing w:after="0" w:line="252" w:lineRule="auto"/>
            </w:pPr>
            <w:r>
              <w:rPr>
                <w:rFonts w:ascii="Arial" w:hAnsi="Arial"/>
                <w:sz w:val="17"/>
              </w:rPr>
              <w:t>FDA label [38]</w:t>
            </w:r>
          </w:p>
        </w:tc>
        <w:tc>
          <w:tcPr>
            <w:tcW w:type="dxa" w:w="1200"/>
            <w:vAlign w:val="center"/>
            <w:tcMar>
              <w:top w:w="80" w:type="dxa"/>
              <w:start w:w="120" w:type="dxa"/>
              <w:bottom w:w="80" w:type="dxa"/>
              <w:end w:w="120" w:type="dxa"/>
            </w:tcMar>
          </w:tcPr>
          <w:p>
            <w:pPr>
              <w:spacing w:after="0" w:line="252" w:lineRule="auto"/>
            </w:pPr>
            <w:r>
              <w:rPr>
                <w:rFonts w:ascii="Arial" w:hAnsi="Arial"/>
                <w:sz w:val="17"/>
              </w:rPr>
              <w:t>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Association, not mechanism.</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Hair</w:t>
            </w:r>
          </w:p>
        </w:tc>
        <w:tc>
          <w:tcPr>
            <w:tcW w:type="dxa" w:w="3100"/>
            <w:vAlign w:val="center"/>
            <w:tcMar>
              <w:top w:w="80" w:type="dxa"/>
              <w:start w:w="120" w:type="dxa"/>
              <w:bottom w:w="80" w:type="dxa"/>
              <w:end w:w="120" w:type="dxa"/>
            </w:tcMar>
          </w:tcPr>
          <w:p>
            <w:pPr>
              <w:spacing w:after="0" w:line="252" w:lineRule="auto"/>
            </w:pPr>
            <w:r>
              <w:rPr>
                <w:rFonts w:ascii="Arial" w:hAnsi="Arial"/>
                <w:sz w:val="17"/>
              </w:rPr>
              <w:t>Zepbound hair loss was 7.1% in women and 0.5% in men; labeling linked it with weight reduction.</w:t>
            </w:r>
          </w:p>
        </w:tc>
        <w:tc>
          <w:tcPr>
            <w:tcW w:type="dxa" w:w="1450"/>
            <w:vAlign w:val="center"/>
            <w:tcMar>
              <w:top w:w="80" w:type="dxa"/>
              <w:start w:w="120" w:type="dxa"/>
              <w:bottom w:w="80" w:type="dxa"/>
              <w:end w:w="120" w:type="dxa"/>
            </w:tcMar>
          </w:tcPr>
          <w:p>
            <w:pPr>
              <w:spacing w:after="0" w:line="252" w:lineRule="auto"/>
            </w:pPr>
            <w:r>
              <w:rPr>
                <w:rFonts w:ascii="Arial" w:hAnsi="Arial"/>
                <w:sz w:val="17"/>
              </w:rPr>
              <w:t>FDA label [39]</w:t>
            </w:r>
          </w:p>
        </w:tc>
        <w:tc>
          <w:tcPr>
            <w:tcW w:type="dxa" w:w="1200"/>
            <w:vAlign w:val="center"/>
            <w:tcMar>
              <w:top w:w="80" w:type="dxa"/>
              <w:start w:w="120" w:type="dxa"/>
              <w:bottom w:w="80" w:type="dxa"/>
              <w:end w:w="120" w:type="dxa"/>
            </w:tcMar>
          </w:tcPr>
          <w:p>
            <w:pPr>
              <w:spacing w:after="0" w:line="252" w:lineRule="auto"/>
            </w:pPr>
            <w:r>
              <w:rPr>
                <w:rFonts w:ascii="Arial" w:hAnsi="Arial"/>
                <w:sz w:val="17"/>
              </w:rPr>
              <w:t>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Sex-specific pooled-trial data.</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Maintenance</w:t>
            </w:r>
          </w:p>
        </w:tc>
        <w:tc>
          <w:tcPr>
            <w:tcW w:type="dxa" w:w="3100"/>
            <w:vAlign w:val="center"/>
            <w:tcMar>
              <w:top w:w="80" w:type="dxa"/>
              <w:start w:w="120" w:type="dxa"/>
              <w:bottom w:w="80" w:type="dxa"/>
              <w:end w:w="120" w:type="dxa"/>
            </w:tcMar>
          </w:tcPr>
          <w:p>
            <w:pPr>
              <w:spacing w:after="0" w:line="252" w:lineRule="auto"/>
            </w:pPr>
            <w:r>
              <w:rPr>
                <w:rFonts w:ascii="Arial" w:hAnsi="Arial"/>
                <w:sz w:val="17"/>
              </w:rPr>
              <w:t>One year after semaglutide withdrawal, participants regained about two-thirds of prior weight loss.</w:t>
            </w:r>
          </w:p>
        </w:tc>
        <w:tc>
          <w:tcPr>
            <w:tcW w:type="dxa" w:w="1450"/>
            <w:vAlign w:val="center"/>
            <w:tcMar>
              <w:top w:w="80" w:type="dxa"/>
              <w:start w:w="120" w:type="dxa"/>
              <w:bottom w:w="80" w:type="dxa"/>
              <w:end w:w="120" w:type="dxa"/>
            </w:tcMar>
          </w:tcPr>
          <w:p>
            <w:pPr>
              <w:spacing w:after="0" w:line="252" w:lineRule="auto"/>
            </w:pPr>
            <w:r>
              <w:rPr>
                <w:rFonts w:ascii="Arial" w:hAnsi="Arial"/>
                <w:sz w:val="17"/>
              </w:rPr>
              <w:t>STEP 1 extension [9]</w:t>
            </w:r>
          </w:p>
        </w:tc>
        <w:tc>
          <w:tcPr>
            <w:tcW w:type="dxa" w:w="1200"/>
            <w:vAlign w:val="center"/>
            <w:tcMar>
              <w:top w:w="80" w:type="dxa"/>
              <w:start w:w="120" w:type="dxa"/>
              <w:bottom w:w="80" w:type="dxa"/>
              <w:end w:w="120" w:type="dxa"/>
            </w:tcMar>
          </w:tcPr>
          <w:p>
            <w:pPr>
              <w:spacing w:after="0" w:line="252" w:lineRule="auto"/>
            </w:pPr>
            <w:r>
              <w:rPr>
                <w:rFonts w:ascii="Arial" w:hAnsi="Arial"/>
                <w:sz w:val="17"/>
              </w:rPr>
              <w:t>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Do not frame as addiction or damaged metabolism.</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Skin</w:t>
            </w:r>
          </w:p>
        </w:tc>
        <w:tc>
          <w:tcPr>
            <w:tcW w:type="dxa" w:w="3100"/>
            <w:vAlign w:val="center"/>
            <w:tcMar>
              <w:top w:w="80" w:type="dxa"/>
              <w:start w:w="120" w:type="dxa"/>
              <w:bottom w:w="80" w:type="dxa"/>
              <w:end w:w="120" w:type="dxa"/>
            </w:tcMar>
          </w:tcPr>
          <w:p>
            <w:pPr>
              <w:spacing w:after="0" w:line="252" w:lineRule="auto"/>
            </w:pPr>
            <w:r>
              <w:rPr>
                <w:rFonts w:ascii="Arial" w:hAnsi="Arial"/>
                <w:sz w:val="17"/>
              </w:rPr>
              <w:t>Massive-weight-loss skin studies report thinner collagen and damaged elastic networks.</w:t>
            </w:r>
          </w:p>
        </w:tc>
        <w:tc>
          <w:tcPr>
            <w:tcW w:type="dxa" w:w="1450"/>
            <w:vAlign w:val="center"/>
            <w:tcMar>
              <w:top w:w="80" w:type="dxa"/>
              <w:start w:w="120" w:type="dxa"/>
              <w:bottom w:w="80" w:type="dxa"/>
              <w:end w:w="120" w:type="dxa"/>
            </w:tcMar>
          </w:tcPr>
          <w:p>
            <w:pPr>
              <w:spacing w:after="0" w:line="252" w:lineRule="auto"/>
            </w:pPr>
            <w:r>
              <w:rPr>
                <w:rFonts w:ascii="Arial" w:hAnsi="Arial"/>
                <w:sz w:val="17"/>
              </w:rPr>
              <w:t>Sami/Rocha [33,34]</w:t>
            </w:r>
          </w:p>
        </w:tc>
        <w:tc>
          <w:tcPr>
            <w:tcW w:type="dxa" w:w="1200"/>
            <w:vAlign w:val="center"/>
            <w:tcMar>
              <w:top w:w="80" w:type="dxa"/>
              <w:start w:w="120" w:type="dxa"/>
              <w:bottom w:w="80" w:type="dxa"/>
              <w:end w:w="120" w:type="dxa"/>
            </w:tcMar>
          </w:tcPr>
          <w:p>
            <w:pPr>
              <w:spacing w:after="0" w:line="252" w:lineRule="auto"/>
            </w:pPr>
            <w:r>
              <w:rPr>
                <w:rFonts w:ascii="Arial" w:hAnsi="Arial"/>
                <w:sz w:val="17"/>
              </w:rPr>
              <w:t>Low-moderate</w:t>
            </w:r>
          </w:p>
        </w:tc>
        <w:tc>
          <w:tcPr>
            <w:tcW w:type="dxa" w:w="2410"/>
            <w:vAlign w:val="center"/>
            <w:tcMar>
              <w:top w:w="80" w:type="dxa"/>
              <w:start w:w="120" w:type="dxa"/>
              <w:bottom w:w="80" w:type="dxa"/>
              <w:end w:w="120" w:type="dxa"/>
            </w:tcMar>
          </w:tcPr>
          <w:p>
            <w:pPr>
              <w:spacing w:after="0" w:line="252" w:lineRule="auto"/>
            </w:pPr>
            <w:r>
              <w:rPr>
                <w:rFonts w:ascii="Arial" w:hAnsi="Arial"/>
                <w:sz w:val="17"/>
              </w:rPr>
              <w:t>Not drug-specific; histology in surgical samples.</w:t>
            </w:r>
          </w:p>
        </w:tc>
      </w:tr>
      <w:tr>
        <w:tc>
          <w:tcPr>
            <w:tcW w:type="dxa" w:w="1200"/>
            <w:vAlign w:val="center"/>
            <w:tcMar>
              <w:top w:w="80" w:type="dxa"/>
              <w:start w:w="120" w:type="dxa"/>
              <w:bottom w:w="80" w:type="dxa"/>
              <w:end w:w="120" w:type="dxa"/>
            </w:tcMar>
          </w:tcPr>
          <w:p>
            <w:pPr>
              <w:spacing w:after="0" w:line="252" w:lineRule="auto"/>
            </w:pPr>
            <w:r>
              <w:rPr>
                <w:rFonts w:ascii="Arial" w:hAnsi="Arial"/>
                <w:sz w:val="17"/>
              </w:rPr>
              <w:t>Skin</w:t>
            </w:r>
          </w:p>
        </w:tc>
        <w:tc>
          <w:tcPr>
            <w:tcW w:type="dxa" w:w="3100"/>
            <w:vAlign w:val="center"/>
            <w:tcMar>
              <w:top w:w="80" w:type="dxa"/>
              <w:start w:w="120" w:type="dxa"/>
              <w:bottom w:w="80" w:type="dxa"/>
              <w:end w:w="120" w:type="dxa"/>
            </w:tcMar>
          </w:tcPr>
          <w:p>
            <w:pPr>
              <w:spacing w:after="0" w:line="252" w:lineRule="auto"/>
            </w:pPr>
            <w:r>
              <w:rPr>
                <w:rFonts w:ascii="Arial" w:hAnsi="Arial"/>
                <w:sz w:val="17"/>
              </w:rPr>
              <w:t>High-quality and non-industry-funded subsets found no clear anti-aging benefit from oral collagen.</w:t>
            </w:r>
          </w:p>
        </w:tc>
        <w:tc>
          <w:tcPr>
            <w:tcW w:type="dxa" w:w="1450"/>
            <w:vAlign w:val="center"/>
            <w:tcMar>
              <w:top w:w="80" w:type="dxa"/>
              <w:start w:w="120" w:type="dxa"/>
              <w:bottom w:w="80" w:type="dxa"/>
              <w:end w:w="120" w:type="dxa"/>
            </w:tcMar>
          </w:tcPr>
          <w:p>
            <w:pPr>
              <w:spacing w:after="0" w:line="252" w:lineRule="auto"/>
            </w:pPr>
            <w:r>
              <w:rPr>
                <w:rFonts w:ascii="Arial" w:hAnsi="Arial"/>
                <w:sz w:val="17"/>
              </w:rPr>
              <w:t>Myung/Park [32]</w:t>
            </w:r>
          </w:p>
        </w:tc>
        <w:tc>
          <w:tcPr>
            <w:tcW w:type="dxa" w:w="1200"/>
            <w:vAlign w:val="center"/>
            <w:tcMar>
              <w:top w:w="80" w:type="dxa"/>
              <w:start w:w="120" w:type="dxa"/>
              <w:bottom w:w="80" w:type="dxa"/>
              <w:end w:w="120" w:type="dxa"/>
            </w:tcMar>
          </w:tcPr>
          <w:p>
            <w:pPr>
              <w:spacing w:after="0" w:line="252" w:lineRule="auto"/>
            </w:pPr>
            <w:r>
              <w:rPr>
                <w:rFonts w:ascii="Arial" w:hAnsi="Arial"/>
                <w:sz w:val="17"/>
              </w:rPr>
              <w:t>Moderate-high</w:t>
            </w:r>
          </w:p>
        </w:tc>
        <w:tc>
          <w:tcPr>
            <w:tcW w:type="dxa" w:w="2410"/>
            <w:vAlign w:val="center"/>
            <w:tcMar>
              <w:top w:w="80" w:type="dxa"/>
              <w:start w:w="120" w:type="dxa"/>
              <w:bottom w:w="80" w:type="dxa"/>
              <w:end w:w="120" w:type="dxa"/>
            </w:tcMar>
          </w:tcPr>
          <w:p>
            <w:pPr>
              <w:spacing w:after="0" w:line="252" w:lineRule="auto"/>
            </w:pPr>
            <w:r>
              <w:rPr>
                <w:rFonts w:ascii="Arial" w:hAnsi="Arial"/>
                <w:sz w:val="17"/>
              </w:rPr>
              <w:t>Directly relevant to claim restraint.</w:t>
            </w:r>
          </w:p>
        </w:tc>
      </w:tr>
    </w:tbl>
    <w:p>
      <w:pPr>
        <w:spacing w:after="0"/>
      </w:pPr>
    </w:p>
    <w:p>
      <w:pPr>
        <w:pStyle w:val="Heading2"/>
      </w:pPr>
      <w:r>
        <w:t>Recommended above-the-fold statistics</w:t>
      </w:r>
    </w:p>
    <w:p>
      <w:pPr>
        <w:pStyle w:val="ListBullet"/>
      </w:pPr>
      <w:r>
        <w:t>“Up to one quarter of weight lost in randomized GLP-1 studies may be lean mass—not all of it muscle.” This is more accurate than “40% muscle loss.”</w:t>
      </w:r>
    </w:p>
    <w:p>
      <w:pPr>
        <w:pStyle w:val="ListBullet"/>
      </w:pPr>
      <w:r>
        <w:t>“In a major tirzepatide body-composition substudy, roughly 75% of the lost weight was fat and 25% lean mass.”</w:t>
      </w:r>
    </w:p>
    <w:p>
      <w:pPr>
        <w:pStyle w:val="ListBullet"/>
      </w:pPr>
      <w:r>
        <w:t>“Resistance training is the clearest evidence-based tool for protecting lean tissue while losing weight.”</w:t>
      </w:r>
    </w:p>
    <w:p>
      <w:pPr>
        <w:pStyle w:val="ListBullet"/>
      </w:pPr>
      <w:r>
        <w:t>“Protein becomes harder—not less important—when appetite falls.”</w:t>
      </w:r>
    </w:p>
    <w:p>
      <w:pPr>
        <w:pStyle w:val="ListBullet"/>
      </w:pPr>
      <w:r>
        <w:t>“The scale cannot tell you whether you are preserving strength.”</w:t>
      </w:r>
    </w:p>
    <w:p>
      <w:pPr>
        <w:pStyle w:val="Heading2"/>
      </w:pPr>
      <w:r>
        <w:t>Statistics best kept in articles, not the hero</w:t>
      </w:r>
    </w:p>
    <w:p>
      <w:r>
        <w:rPr>
          <w:i w:val="0"/>
        </w:rPr>
        <w:t>Medication adverse-event percentages, cardiovascular endpoints, kidney outcomes and hair-loss rates require population and label context. Use them in medically reviewed explainers or expandable evidence sections. A landing-page hero should avoid making the supplement appear to diagnose or treat prescription-drug adverse effects.</w:t>
      </w:r>
    </w:p>
    <w:p>
      <w:pPr>
        <w:pStyle w:val="Heading1"/>
      </w:pPr>
      <w:r>
        <w:t>6. Claims and compliance framework</w:t>
      </w:r>
    </w:p>
    <w:p>
      <w:pPr>
        <w:pStyle w:val="Heading2"/>
      </w:pPr>
      <w:r>
        <w:t>6.1 Separate three evidence objects</w:t>
      </w:r>
    </w:p>
    <w:p>
      <w:pPr>
        <w:pStyle w:val="ListBullet"/>
      </w:pPr>
      <w:r>
        <w:t>Medication evidence: what semaglutide or tirzepatide did in a defined clinical trial. Peptis cannot borrow that efficacy.</w:t>
      </w:r>
    </w:p>
    <w:p>
      <w:pPr>
        <w:pStyle w:val="ListBullet"/>
      </w:pPr>
      <w:r>
        <w:t>Ingredient evidence: what whey, creatine or another ingredient did at a specified dose and context. This does not automatically substantiate the finished blend.</w:t>
      </w:r>
    </w:p>
    <w:p>
      <w:pPr>
        <w:pStyle w:val="ListBullet"/>
      </w:pPr>
      <w:r>
        <w:t>Peptis finished-product evidence: identity, purity, dose, stability, tolerability, adherence and eventually outcomes measured in the actual product and program.</w:t>
      </w:r>
    </w:p>
    <w:p>
      <w:pPr>
        <w:pStyle w:val="Heading2"/>
      </w:pPr>
      <w:r>
        <w:t>6.2 Claim ladder</w:t>
      </w:r>
    </w:p>
    <w:tbl>
      <w:tblPr>
        <w:tblStyle w:val="TableGrid"/>
        <w:tblW w:type="dxa" w:w="936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600"/>
        <w:gridCol w:w="4860"/>
        <w:gridCol w:w="2900"/>
      </w:tblGrid>
      <w:tr>
        <w:trPr>
          <w:tblHeader w:val="true"/>
        </w:trPr>
        <w:tc>
          <w:tcPr>
            <w:tcW w:type="dxa" w:w="1600"/>
            <w:vAlign w:val="center"/>
            <w:tcMar>
              <w:top w:w="80" w:type="dxa"/>
              <w:start w:w="120" w:type="dxa"/>
              <w:bottom w:w="80" w:type="dxa"/>
              <w:end w:w="120" w:type="dxa"/>
            </w:tcMar>
          </w:tcPr>
          <w:p>
            <w:r>
              <w:rPr>
                <w:rFonts w:ascii="Arial" w:hAnsi="Arial"/>
                <w:b/>
                <w:sz w:val="18"/>
              </w:rPr>
              <w:t>Tier</w:t>
            </w:r>
          </w:p>
        </w:tc>
        <w:tc>
          <w:tcPr>
            <w:tcW w:type="dxa" w:w="4860"/>
            <w:vAlign w:val="center"/>
            <w:tcMar>
              <w:top w:w="80" w:type="dxa"/>
              <w:start w:w="120" w:type="dxa"/>
              <w:bottom w:w="80" w:type="dxa"/>
              <w:end w:w="120" w:type="dxa"/>
            </w:tcMar>
          </w:tcPr>
          <w:p>
            <w:r>
              <w:rPr>
                <w:rFonts w:ascii="Arial" w:hAnsi="Arial"/>
                <w:b/>
                <w:sz w:val="18"/>
              </w:rPr>
              <w:t>Examples</w:t>
            </w:r>
          </w:p>
        </w:tc>
        <w:tc>
          <w:tcPr>
            <w:tcW w:type="dxa" w:w="2900"/>
            <w:vAlign w:val="center"/>
            <w:tcMar>
              <w:top w:w="80" w:type="dxa"/>
              <w:start w:w="120" w:type="dxa"/>
              <w:bottom w:w="80" w:type="dxa"/>
              <w:end w:w="120" w:type="dxa"/>
            </w:tcMar>
          </w:tcPr>
          <w:p>
            <w:r>
              <w:rPr>
                <w:rFonts w:ascii="Arial" w:hAnsi="Arial"/>
                <w:b/>
                <w:sz w:val="18"/>
              </w:rPr>
              <w:t>Requirement</w:t>
            </w:r>
          </w:p>
        </w:tc>
      </w:tr>
      <w:tr>
        <w:tc>
          <w:tcPr>
            <w:tcW w:type="dxa" w:w="1600"/>
            <w:vAlign w:val="center"/>
            <w:tcMar>
              <w:top w:w="80" w:type="dxa"/>
              <w:start w:w="120" w:type="dxa"/>
              <w:bottom w:w="80" w:type="dxa"/>
              <w:end w:w="120" w:type="dxa"/>
            </w:tcMar>
          </w:tcPr>
          <w:p>
            <w:pPr>
              <w:spacing w:after="0" w:line="252" w:lineRule="auto"/>
            </w:pPr>
            <w:r>
              <w:rPr>
                <w:rFonts w:ascii="Arial" w:hAnsi="Arial"/>
                <w:sz w:val="17"/>
              </w:rPr>
              <w:t>Green: factual / low risk</w:t>
            </w:r>
          </w:p>
        </w:tc>
        <w:tc>
          <w:tcPr>
            <w:tcW w:type="dxa" w:w="4860"/>
            <w:vAlign w:val="center"/>
            <w:tcMar>
              <w:top w:w="80" w:type="dxa"/>
              <w:start w:w="120" w:type="dxa"/>
              <w:bottom w:w="80" w:type="dxa"/>
              <w:end w:w="120" w:type="dxa"/>
            </w:tcMar>
          </w:tcPr>
          <w:p>
            <w:pPr>
              <w:spacing w:after="0" w:line="252" w:lineRule="auto"/>
            </w:pPr>
            <w:r>
              <w:rPr>
                <w:rFonts w:ascii="Arial" w:hAnsi="Arial"/>
                <w:sz w:val="17"/>
              </w:rPr>
              <w:t>25 g complete protein per serving; 5 g creatine monohydrate; third-party tested; batch COA available; clear, low-volume format.</w:t>
            </w:r>
          </w:p>
        </w:tc>
        <w:tc>
          <w:tcPr>
            <w:tcW w:type="dxa" w:w="2900"/>
            <w:vAlign w:val="center"/>
            <w:tcMar>
              <w:top w:w="80" w:type="dxa"/>
              <w:start w:w="120" w:type="dxa"/>
              <w:bottom w:w="80" w:type="dxa"/>
              <w:end w:w="120" w:type="dxa"/>
            </w:tcMar>
          </w:tcPr>
          <w:p>
            <w:pPr>
              <w:spacing w:after="0" w:line="252" w:lineRule="auto"/>
            </w:pPr>
            <w:r>
              <w:rPr>
                <w:rFonts w:ascii="Arial" w:hAnsi="Arial"/>
                <w:sz w:val="17"/>
              </w:rPr>
              <w:t>Verify formula, analytical method and label.</w:t>
            </w:r>
          </w:p>
        </w:tc>
      </w:tr>
      <w:tr>
        <w:tc>
          <w:tcPr>
            <w:tcW w:type="dxa" w:w="1600"/>
            <w:vAlign w:val="center"/>
            <w:tcMar>
              <w:top w:w="80" w:type="dxa"/>
              <w:start w:w="120" w:type="dxa"/>
              <w:bottom w:w="80" w:type="dxa"/>
              <w:end w:w="120" w:type="dxa"/>
            </w:tcMar>
          </w:tcPr>
          <w:p>
            <w:pPr>
              <w:spacing w:after="0" w:line="252" w:lineRule="auto"/>
            </w:pPr>
            <w:r>
              <w:rPr>
                <w:rFonts w:ascii="Arial" w:hAnsi="Arial"/>
                <w:sz w:val="17"/>
              </w:rPr>
              <w:t>Green-to-amber: structure/function</w:t>
            </w:r>
          </w:p>
        </w:tc>
        <w:tc>
          <w:tcPr>
            <w:tcW w:type="dxa" w:w="4860"/>
            <w:vAlign w:val="center"/>
            <w:tcMar>
              <w:top w:w="80" w:type="dxa"/>
              <w:start w:w="120" w:type="dxa"/>
              <w:bottom w:w="80" w:type="dxa"/>
              <w:end w:w="120" w:type="dxa"/>
            </w:tcMar>
          </w:tcPr>
          <w:p>
            <w:pPr>
              <w:spacing w:after="0" w:line="252" w:lineRule="auto"/>
            </w:pPr>
            <w:r>
              <w:rPr>
                <w:rFonts w:ascii="Arial" w:hAnsi="Arial"/>
                <w:sz w:val="17"/>
              </w:rPr>
              <w:t>Protein supports maintenance of muscle mass; creatine supports repeated high-intensity performance; designed to help meet daily protein goals.</w:t>
            </w:r>
          </w:p>
        </w:tc>
        <w:tc>
          <w:tcPr>
            <w:tcW w:type="dxa" w:w="2900"/>
            <w:vAlign w:val="center"/>
            <w:tcMar>
              <w:top w:w="80" w:type="dxa"/>
              <w:start w:w="120" w:type="dxa"/>
              <w:bottom w:w="80" w:type="dxa"/>
              <w:end w:w="120" w:type="dxa"/>
            </w:tcMar>
          </w:tcPr>
          <w:p>
            <w:pPr>
              <w:spacing w:after="0" w:line="252" w:lineRule="auto"/>
            </w:pPr>
            <w:r>
              <w:rPr>
                <w:rFonts w:ascii="Arial" w:hAnsi="Arial"/>
                <w:sz w:val="17"/>
              </w:rPr>
              <w:t>Substantiation, label review and required FDA disclaimer where applicable.</w:t>
            </w:r>
          </w:p>
        </w:tc>
      </w:tr>
      <w:tr>
        <w:tc>
          <w:tcPr>
            <w:tcW w:type="dxa" w:w="1600"/>
            <w:vAlign w:val="center"/>
            <w:tcMar>
              <w:top w:w="80" w:type="dxa"/>
              <w:start w:w="120" w:type="dxa"/>
              <w:bottom w:w="80" w:type="dxa"/>
              <w:end w:w="120" w:type="dxa"/>
            </w:tcMar>
          </w:tcPr>
          <w:p>
            <w:pPr>
              <w:spacing w:after="0" w:line="252" w:lineRule="auto"/>
            </w:pPr>
            <w:r>
              <w:rPr>
                <w:rFonts w:ascii="Arial" w:hAnsi="Arial"/>
                <w:sz w:val="17"/>
              </w:rPr>
              <w:t>Amber: program-level</w:t>
            </w:r>
          </w:p>
        </w:tc>
        <w:tc>
          <w:tcPr>
            <w:tcW w:type="dxa" w:w="4860"/>
            <w:vAlign w:val="center"/>
            <w:tcMar>
              <w:top w:w="80" w:type="dxa"/>
              <w:start w:w="120" w:type="dxa"/>
              <w:bottom w:w="80" w:type="dxa"/>
              <w:end w:w="120" w:type="dxa"/>
            </w:tcMar>
          </w:tcPr>
          <w:p>
            <w:pPr>
              <w:spacing w:after="0" w:line="252" w:lineRule="auto"/>
            </w:pPr>
            <w:r>
              <w:rPr>
                <w:rFonts w:ascii="Arial" w:hAnsi="Arial"/>
                <w:sz w:val="17"/>
              </w:rPr>
              <w:t>Built to help users prioritize protein and progressive strength training during weight loss; track strength, waist and routines beyond the scale.</w:t>
            </w:r>
          </w:p>
        </w:tc>
        <w:tc>
          <w:tcPr>
            <w:tcW w:type="dxa" w:w="2900"/>
            <w:vAlign w:val="center"/>
            <w:tcMar>
              <w:top w:w="80" w:type="dxa"/>
              <w:start w:w="120" w:type="dxa"/>
              <w:bottom w:w="80" w:type="dxa"/>
              <w:end w:w="120" w:type="dxa"/>
            </w:tcMar>
          </w:tcPr>
          <w:p>
            <w:pPr>
              <w:spacing w:after="0" w:line="252" w:lineRule="auto"/>
            </w:pPr>
            <w:r>
              <w:rPr>
                <w:rFonts w:ascii="Arial" w:hAnsi="Arial"/>
                <w:sz w:val="17"/>
              </w:rPr>
              <w:t>Make clear this describes the service, not a guaranteed health outcome.</w:t>
            </w:r>
          </w:p>
        </w:tc>
      </w:tr>
      <w:tr>
        <w:tc>
          <w:tcPr>
            <w:tcW w:type="dxa" w:w="1600"/>
            <w:vAlign w:val="center"/>
            <w:tcMar>
              <w:top w:w="80" w:type="dxa"/>
              <w:start w:w="120" w:type="dxa"/>
              <w:bottom w:w="80" w:type="dxa"/>
              <w:end w:w="120" w:type="dxa"/>
            </w:tcMar>
          </w:tcPr>
          <w:p>
            <w:pPr>
              <w:spacing w:after="0" w:line="252" w:lineRule="auto"/>
            </w:pPr>
            <w:r>
              <w:rPr>
                <w:rFonts w:ascii="Arial" w:hAnsi="Arial"/>
                <w:sz w:val="17"/>
              </w:rPr>
              <w:t>Red: disease/drug-side-effect</w:t>
            </w:r>
          </w:p>
        </w:tc>
        <w:tc>
          <w:tcPr>
            <w:tcW w:type="dxa" w:w="4860"/>
            <w:vAlign w:val="center"/>
            <w:tcMar>
              <w:top w:w="80" w:type="dxa"/>
              <w:start w:w="120" w:type="dxa"/>
              <w:bottom w:w="80" w:type="dxa"/>
              <w:end w:w="120" w:type="dxa"/>
            </w:tcMar>
          </w:tcPr>
          <w:p>
            <w:pPr>
              <w:spacing w:after="0" w:line="252" w:lineRule="auto"/>
            </w:pPr>
            <w:r>
              <w:rPr>
                <w:rFonts w:ascii="Arial" w:hAnsi="Arial"/>
                <w:sz w:val="17"/>
              </w:rPr>
              <w:t>Prevents Ozempic muscle loss; treats semaglutide fatigue; reverses GLP-1 skin sag; stops hair loss; prevents weight regain.</w:t>
            </w:r>
          </w:p>
        </w:tc>
        <w:tc>
          <w:tcPr>
            <w:tcW w:type="dxa" w:w="2900"/>
            <w:vAlign w:val="center"/>
            <w:tcMar>
              <w:top w:w="80" w:type="dxa"/>
              <w:start w:w="120" w:type="dxa"/>
              <w:bottom w:w="80" w:type="dxa"/>
              <w:end w:w="120" w:type="dxa"/>
            </w:tcMar>
          </w:tcPr>
          <w:p>
            <w:pPr>
              <w:spacing w:after="0" w:line="252" w:lineRule="auto"/>
            </w:pPr>
            <w:r>
              <w:rPr>
                <w:rFonts w:ascii="Arial" w:hAnsi="Arial"/>
                <w:sz w:val="17"/>
              </w:rPr>
              <w:t>Do not use without an appropriate approved-drug pathway and direct evidence.</w:t>
            </w:r>
          </w:p>
        </w:tc>
      </w:tr>
      <w:tr>
        <w:tc>
          <w:tcPr>
            <w:tcW w:type="dxa" w:w="1600"/>
            <w:vAlign w:val="center"/>
            <w:tcMar>
              <w:top w:w="80" w:type="dxa"/>
              <w:start w:w="120" w:type="dxa"/>
              <w:bottom w:w="80" w:type="dxa"/>
              <w:end w:w="120" w:type="dxa"/>
            </w:tcMar>
          </w:tcPr>
          <w:p>
            <w:pPr>
              <w:spacing w:after="0" w:line="252" w:lineRule="auto"/>
            </w:pPr>
            <w:r>
              <w:rPr>
                <w:rFonts w:ascii="Arial" w:hAnsi="Arial"/>
                <w:sz w:val="17"/>
              </w:rPr>
              <w:t>Red: comparative or equivalence</w:t>
            </w:r>
          </w:p>
        </w:tc>
        <w:tc>
          <w:tcPr>
            <w:tcW w:type="dxa" w:w="4860"/>
            <w:vAlign w:val="center"/>
            <w:tcMar>
              <w:top w:w="80" w:type="dxa"/>
              <w:start w:w="120" w:type="dxa"/>
              <w:bottom w:w="80" w:type="dxa"/>
              <w:end w:w="120" w:type="dxa"/>
            </w:tcMar>
          </w:tcPr>
          <w:p>
            <w:pPr>
              <w:spacing w:after="0" w:line="252" w:lineRule="auto"/>
            </w:pPr>
            <w:r>
              <w:rPr>
                <w:rFonts w:ascii="Arial" w:hAnsi="Arial"/>
                <w:sz w:val="17"/>
              </w:rPr>
              <w:t>Natural Ozempic; same results as Wegovy; clinically proven GLP-1 protection; generic tirzepatide.</w:t>
            </w:r>
          </w:p>
        </w:tc>
        <w:tc>
          <w:tcPr>
            <w:tcW w:type="dxa" w:w="2900"/>
            <w:vAlign w:val="center"/>
            <w:tcMar>
              <w:top w:w="80" w:type="dxa"/>
              <w:start w:w="120" w:type="dxa"/>
              <w:bottom w:w="80" w:type="dxa"/>
              <w:end w:w="120" w:type="dxa"/>
            </w:tcMar>
          </w:tcPr>
          <w:p>
            <w:pPr>
              <w:spacing w:after="0" w:line="252" w:lineRule="auto"/>
            </w:pPr>
            <w:r>
              <w:rPr>
                <w:rFonts w:ascii="Arial" w:hAnsi="Arial"/>
                <w:sz w:val="17"/>
              </w:rPr>
              <w:t>Avoid. High FDA/FTC risk and potentially false or misleading.</w:t>
            </w:r>
          </w:p>
        </w:tc>
      </w:tr>
    </w:tbl>
    <w:p>
      <w:pPr>
        <w:spacing w:after="0"/>
      </w:pPr>
    </w:p>
    <w:p>
      <w:pPr>
        <w:pStyle w:val="Heading2"/>
      </w:pPr>
      <w:r>
        <w:t>6.3 Regulatory principles</w:t>
      </w:r>
    </w:p>
    <w:p>
      <w:r>
        <w:rPr>
          <w:i w:val="0"/>
        </w:rPr>
        <w:t>FDA permits truthful, non-misleading structure/function claims for dietary supplements when the firm has substantiation, files the required notification and uses the statutory disclaimer. Supplements may not explicitly or implicitly claim to diagnose, treat, cure, mitigate or prevent disease. Context matters: a technically mild phrase can become a disease claim when surrounded by medication imagery and adverse-effect language. [42]</w:t>
      </w:r>
    </w:p>
    <w:p>
      <w:r>
        <w:rPr>
          <w:i w:val="0"/>
        </w:rPr>
        <w:t>FTC evaluates the express and implied net impression of health advertising and expects competent and reliable scientific evidence. Disclaimers cannot rescue a dominant misleading message. Testimonials cannot communicate a result the marketer could not substantiate directly. [43]</w:t>
      </w:r>
    </w:p>
    <w:p>
      <w:r>
        <w:rPr>
          <w:i w:val="0"/>
        </w:rPr>
        <w:t>FDA enforcement around compounded GLP-1 promotion has intensified. Compounded products are not FDA approved, cannot be described as generic or the same as approved products, and may create safety and misbranding risk. Peptis should keep supplements, educational content, waitlists and any future licensed clinical service operationally and visually distinct. [44,45]</w:t>
      </w:r>
    </w:p>
    <w:p>
      <w:pPr>
        <w:pStyle w:val="Heading2"/>
      </w:pPr>
      <w:r>
        <w:t>6.4 Specific copy replacements</w:t>
      </w:r>
    </w:p>
    <w:tbl>
      <w:tblPr>
        <w:tblStyle w:val="TableGrid"/>
        <w:tblW w:type="dxa" w:w="936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850"/>
        <w:gridCol w:w="2600"/>
        <w:gridCol w:w="1600"/>
        <w:gridCol w:w="4310"/>
      </w:tblGrid>
      <w:tr>
        <w:trPr>
          <w:tblHeader w:val="true"/>
        </w:trPr>
        <w:tc>
          <w:tcPr>
            <w:tcW w:type="dxa" w:w="850"/>
            <w:vAlign w:val="center"/>
            <w:tcMar>
              <w:top w:w="80" w:type="dxa"/>
              <w:start w:w="120" w:type="dxa"/>
              <w:bottom w:w="80" w:type="dxa"/>
              <w:end w:w="120" w:type="dxa"/>
            </w:tcMar>
          </w:tcPr>
          <w:p>
            <w:r>
              <w:rPr>
                <w:rFonts w:ascii="Arial" w:hAnsi="Arial"/>
                <w:b/>
                <w:sz w:val="18"/>
              </w:rPr>
              <w:t>Label</w:t>
            </w:r>
          </w:p>
        </w:tc>
        <w:tc>
          <w:tcPr>
            <w:tcW w:type="dxa" w:w="2600"/>
            <w:vAlign w:val="center"/>
            <w:tcMar>
              <w:top w:w="80" w:type="dxa"/>
              <w:start w:w="120" w:type="dxa"/>
              <w:bottom w:w="80" w:type="dxa"/>
              <w:end w:w="120" w:type="dxa"/>
            </w:tcMar>
          </w:tcPr>
          <w:p>
            <w:r>
              <w:rPr>
                <w:rFonts w:ascii="Arial" w:hAnsi="Arial"/>
                <w:b/>
                <w:sz w:val="18"/>
              </w:rPr>
              <w:t>Risky copy</w:t>
            </w:r>
          </w:p>
        </w:tc>
        <w:tc>
          <w:tcPr>
            <w:tcW w:type="dxa" w:w="1600"/>
            <w:vAlign w:val="center"/>
            <w:tcMar>
              <w:top w:w="80" w:type="dxa"/>
              <w:start w:w="120" w:type="dxa"/>
              <w:bottom w:w="80" w:type="dxa"/>
              <w:end w:w="120" w:type="dxa"/>
            </w:tcMar>
          </w:tcPr>
          <w:p>
            <w:r>
              <w:rPr>
                <w:rFonts w:ascii="Arial" w:hAnsi="Arial"/>
                <w:b/>
                <w:sz w:val="18"/>
              </w:rPr>
              <w:t>Replacement</w:t>
            </w:r>
          </w:p>
        </w:tc>
        <w:tc>
          <w:tcPr>
            <w:tcW w:type="dxa" w:w="4310"/>
            <w:vAlign w:val="center"/>
            <w:tcMar>
              <w:top w:w="80" w:type="dxa"/>
              <w:start w:w="120" w:type="dxa"/>
              <w:bottom w:w="80" w:type="dxa"/>
              <w:end w:w="120" w:type="dxa"/>
            </w:tcMar>
          </w:tcPr>
          <w:p>
            <w:r>
              <w:rPr>
                <w:rFonts w:ascii="Arial" w:hAnsi="Arial"/>
                <w:b/>
                <w:sz w:val="18"/>
              </w:rPr>
              <w:t>Recommended copy</w:t>
            </w:r>
          </w:p>
        </w:tc>
      </w:tr>
      <w:tr>
        <w:tc>
          <w:tcPr>
            <w:tcW w:type="dxa" w:w="850"/>
            <w:vAlign w:val="center"/>
            <w:tcMar>
              <w:top w:w="80" w:type="dxa"/>
              <w:start w:w="120" w:type="dxa"/>
              <w:bottom w:w="80" w:type="dxa"/>
              <w:end w:w="120" w:type="dxa"/>
            </w:tcMar>
          </w:tcPr>
          <w:p>
            <w:pPr>
              <w:spacing w:after="0" w:line="252" w:lineRule="auto"/>
            </w:pPr>
            <w:r>
              <w:rPr>
                <w:rFonts w:ascii="Arial" w:hAnsi="Arial"/>
                <w:sz w:val="17"/>
              </w:rPr>
              <w:t>Avoid</w:t>
            </w:r>
          </w:p>
        </w:tc>
        <w:tc>
          <w:tcPr>
            <w:tcW w:type="dxa" w:w="2600"/>
            <w:vAlign w:val="center"/>
            <w:tcMar>
              <w:top w:w="80" w:type="dxa"/>
              <w:start w:w="120" w:type="dxa"/>
              <w:bottom w:w="80" w:type="dxa"/>
              <w:end w:w="120" w:type="dxa"/>
            </w:tcMar>
          </w:tcPr>
          <w:p>
            <w:pPr>
              <w:spacing w:after="0" w:line="252" w:lineRule="auto"/>
            </w:pPr>
            <w:r>
              <w:rPr>
                <w:rFonts w:ascii="Arial" w:hAnsi="Arial"/>
                <w:sz w:val="17"/>
              </w:rPr>
              <w:t>“GLP-1s can make up to 40% of your weight loss muscle.”</w:t>
            </w:r>
          </w:p>
        </w:tc>
        <w:tc>
          <w:tcPr>
            <w:tcW w:type="dxa" w:w="1600"/>
            <w:vAlign w:val="center"/>
            <w:tcMar>
              <w:top w:w="80" w:type="dxa"/>
              <w:start w:w="120" w:type="dxa"/>
              <w:bottom w:w="80" w:type="dxa"/>
              <w:end w:w="120" w:type="dxa"/>
            </w:tcMar>
          </w:tcPr>
          <w:p>
            <w:pPr>
              <w:spacing w:after="0" w:line="252" w:lineRule="auto"/>
            </w:pPr>
            <w:r>
              <w:rPr>
                <w:rFonts w:ascii="Arial" w:hAnsi="Arial"/>
                <w:sz w:val="17"/>
              </w:rPr>
              <w:t>Use</w:t>
            </w:r>
          </w:p>
        </w:tc>
        <w:tc>
          <w:tcPr>
            <w:tcW w:type="dxa" w:w="4310"/>
            <w:vAlign w:val="center"/>
            <w:tcMar>
              <w:top w:w="80" w:type="dxa"/>
              <w:start w:w="120" w:type="dxa"/>
              <w:bottom w:w="80" w:type="dxa"/>
              <w:end w:w="120" w:type="dxa"/>
            </w:tcMar>
          </w:tcPr>
          <w:p>
            <w:pPr>
              <w:spacing w:after="0" w:line="252" w:lineRule="auto"/>
            </w:pPr>
            <w:r>
              <w:rPr>
                <w:rFonts w:ascii="Arial" w:hAnsi="Arial"/>
                <w:sz w:val="17"/>
              </w:rPr>
              <w:t>“Some weight lost is lean tissue, but lean mass is not the same as muscle and fat usually falls more.”</w:t>
            </w:r>
          </w:p>
        </w:tc>
      </w:tr>
      <w:tr>
        <w:tc>
          <w:tcPr>
            <w:tcW w:type="dxa" w:w="850"/>
            <w:vAlign w:val="center"/>
            <w:tcMar>
              <w:top w:w="80" w:type="dxa"/>
              <w:start w:w="120" w:type="dxa"/>
              <w:bottom w:w="80" w:type="dxa"/>
              <w:end w:w="120" w:type="dxa"/>
            </w:tcMar>
          </w:tcPr>
          <w:p>
            <w:pPr>
              <w:spacing w:after="0" w:line="252" w:lineRule="auto"/>
            </w:pPr>
            <w:r>
              <w:rPr>
                <w:rFonts w:ascii="Arial" w:hAnsi="Arial"/>
                <w:sz w:val="17"/>
              </w:rPr>
              <w:t>Avoid</w:t>
            </w:r>
          </w:p>
        </w:tc>
        <w:tc>
          <w:tcPr>
            <w:tcW w:type="dxa" w:w="2600"/>
            <w:vAlign w:val="center"/>
            <w:tcMar>
              <w:top w:w="80" w:type="dxa"/>
              <w:start w:w="120" w:type="dxa"/>
              <w:bottom w:w="80" w:type="dxa"/>
              <w:end w:w="120" w:type="dxa"/>
            </w:tcMar>
          </w:tcPr>
          <w:p>
            <w:pPr>
              <w:spacing w:after="0" w:line="252" w:lineRule="auto"/>
            </w:pPr>
            <w:r>
              <w:rPr>
                <w:rFonts w:ascii="Arial" w:hAnsi="Arial"/>
                <w:sz w:val="17"/>
              </w:rPr>
              <w:t>“Prevent Ozempic body.”</w:t>
            </w:r>
          </w:p>
        </w:tc>
        <w:tc>
          <w:tcPr>
            <w:tcW w:type="dxa" w:w="1600"/>
            <w:vAlign w:val="center"/>
            <w:tcMar>
              <w:top w:w="80" w:type="dxa"/>
              <w:start w:w="120" w:type="dxa"/>
              <w:bottom w:w="80" w:type="dxa"/>
              <w:end w:w="120" w:type="dxa"/>
            </w:tcMar>
          </w:tcPr>
          <w:p>
            <w:pPr>
              <w:spacing w:after="0" w:line="252" w:lineRule="auto"/>
            </w:pPr>
            <w:r>
              <w:rPr>
                <w:rFonts w:ascii="Arial" w:hAnsi="Arial"/>
                <w:sz w:val="17"/>
              </w:rPr>
              <w:t>Use</w:t>
            </w:r>
          </w:p>
        </w:tc>
        <w:tc>
          <w:tcPr>
            <w:tcW w:type="dxa" w:w="4310"/>
            <w:vAlign w:val="center"/>
            <w:tcMar>
              <w:top w:w="80" w:type="dxa"/>
              <w:start w:w="120" w:type="dxa"/>
              <w:bottom w:w="80" w:type="dxa"/>
              <w:end w:w="120" w:type="dxa"/>
            </w:tcMar>
          </w:tcPr>
          <w:p>
            <w:pPr>
              <w:spacing w:after="0" w:line="252" w:lineRule="auto"/>
            </w:pPr>
            <w:r>
              <w:rPr>
                <w:rFonts w:ascii="Arial" w:hAnsi="Arial"/>
                <w:sz w:val="17"/>
              </w:rPr>
              <w:t>“Train for strength. Prioritize protein. Track more than pounds.”</w:t>
            </w:r>
          </w:p>
        </w:tc>
      </w:tr>
      <w:tr>
        <w:tc>
          <w:tcPr>
            <w:tcW w:type="dxa" w:w="850"/>
            <w:vAlign w:val="center"/>
            <w:tcMar>
              <w:top w:w="80" w:type="dxa"/>
              <w:start w:w="120" w:type="dxa"/>
              <w:bottom w:w="80" w:type="dxa"/>
              <w:end w:w="120" w:type="dxa"/>
            </w:tcMar>
          </w:tcPr>
          <w:p>
            <w:pPr>
              <w:spacing w:after="0" w:line="252" w:lineRule="auto"/>
            </w:pPr>
            <w:r>
              <w:rPr>
                <w:rFonts w:ascii="Arial" w:hAnsi="Arial"/>
                <w:sz w:val="17"/>
              </w:rPr>
              <w:t>Avoid</w:t>
            </w:r>
          </w:p>
        </w:tc>
        <w:tc>
          <w:tcPr>
            <w:tcW w:type="dxa" w:w="2600"/>
            <w:vAlign w:val="center"/>
            <w:tcMar>
              <w:top w:w="80" w:type="dxa"/>
              <w:start w:w="120" w:type="dxa"/>
              <w:bottom w:w="80" w:type="dxa"/>
              <w:end w:w="120" w:type="dxa"/>
            </w:tcMar>
          </w:tcPr>
          <w:p>
            <w:pPr>
              <w:spacing w:after="0" w:line="252" w:lineRule="auto"/>
            </w:pPr>
            <w:r>
              <w:rPr>
                <w:rFonts w:ascii="Arial" w:hAnsi="Arial"/>
                <w:sz w:val="17"/>
              </w:rPr>
              <w:t>“Reverse loose skin naturally.”</w:t>
            </w:r>
          </w:p>
        </w:tc>
        <w:tc>
          <w:tcPr>
            <w:tcW w:type="dxa" w:w="1600"/>
            <w:vAlign w:val="center"/>
            <w:tcMar>
              <w:top w:w="80" w:type="dxa"/>
              <w:start w:w="120" w:type="dxa"/>
              <w:bottom w:w="80" w:type="dxa"/>
              <w:end w:w="120" w:type="dxa"/>
            </w:tcMar>
          </w:tcPr>
          <w:p>
            <w:pPr>
              <w:spacing w:after="0" w:line="252" w:lineRule="auto"/>
            </w:pPr>
            <w:r>
              <w:rPr>
                <w:rFonts w:ascii="Arial" w:hAnsi="Arial"/>
                <w:sz w:val="17"/>
              </w:rPr>
              <w:t>Use</w:t>
            </w:r>
          </w:p>
        </w:tc>
        <w:tc>
          <w:tcPr>
            <w:tcW w:type="dxa" w:w="4310"/>
            <w:vAlign w:val="center"/>
            <w:tcMar>
              <w:top w:w="80" w:type="dxa"/>
              <w:start w:w="120" w:type="dxa"/>
              <w:bottom w:w="80" w:type="dxa"/>
              <w:end w:w="120" w:type="dxa"/>
            </w:tcMar>
          </w:tcPr>
          <w:p>
            <w:pPr>
              <w:spacing w:after="0" w:line="252" w:lineRule="auto"/>
            </w:pPr>
            <w:r>
              <w:rPr>
                <w:rFonts w:ascii="Arial" w:hAnsi="Arial"/>
                <w:sz w:val="17"/>
              </w:rPr>
              <w:t>“Support skin health and build the shape beneath it—without pretending exercise removes excess skin.”</w:t>
            </w:r>
          </w:p>
        </w:tc>
      </w:tr>
      <w:tr>
        <w:tc>
          <w:tcPr>
            <w:tcW w:type="dxa" w:w="850"/>
            <w:vAlign w:val="center"/>
            <w:tcMar>
              <w:top w:w="80" w:type="dxa"/>
              <w:start w:w="120" w:type="dxa"/>
              <w:bottom w:w="80" w:type="dxa"/>
              <w:end w:w="120" w:type="dxa"/>
            </w:tcMar>
          </w:tcPr>
          <w:p>
            <w:pPr>
              <w:spacing w:after="0" w:line="252" w:lineRule="auto"/>
            </w:pPr>
            <w:r>
              <w:rPr>
                <w:rFonts w:ascii="Arial" w:hAnsi="Arial"/>
                <w:sz w:val="17"/>
              </w:rPr>
              <w:t>Avoid</w:t>
            </w:r>
          </w:p>
        </w:tc>
        <w:tc>
          <w:tcPr>
            <w:tcW w:type="dxa" w:w="2600"/>
            <w:vAlign w:val="center"/>
            <w:tcMar>
              <w:top w:w="80" w:type="dxa"/>
              <w:start w:w="120" w:type="dxa"/>
              <w:bottom w:w="80" w:type="dxa"/>
              <w:end w:w="120" w:type="dxa"/>
            </w:tcMar>
          </w:tcPr>
          <w:p>
            <w:pPr>
              <w:spacing w:after="0" w:line="252" w:lineRule="auto"/>
            </w:pPr>
            <w:r>
              <w:rPr>
                <w:rFonts w:ascii="Arial" w:hAnsi="Arial"/>
                <w:sz w:val="17"/>
              </w:rPr>
              <w:t>“Clinically proven GLP-1 muscle protection.”</w:t>
            </w:r>
          </w:p>
        </w:tc>
        <w:tc>
          <w:tcPr>
            <w:tcW w:type="dxa" w:w="1600"/>
            <w:vAlign w:val="center"/>
            <w:tcMar>
              <w:top w:w="80" w:type="dxa"/>
              <w:start w:w="120" w:type="dxa"/>
              <w:bottom w:w="80" w:type="dxa"/>
              <w:end w:w="120" w:type="dxa"/>
            </w:tcMar>
          </w:tcPr>
          <w:p>
            <w:pPr>
              <w:spacing w:after="0" w:line="252" w:lineRule="auto"/>
            </w:pPr>
            <w:r>
              <w:rPr>
                <w:rFonts w:ascii="Arial" w:hAnsi="Arial"/>
                <w:sz w:val="17"/>
              </w:rPr>
              <w:t>Use</w:t>
            </w:r>
          </w:p>
        </w:tc>
        <w:tc>
          <w:tcPr>
            <w:tcW w:type="dxa" w:w="4310"/>
            <w:vAlign w:val="center"/>
            <w:tcMar>
              <w:top w:w="80" w:type="dxa"/>
              <w:start w:w="120" w:type="dxa"/>
              <w:bottom w:w="80" w:type="dxa"/>
              <w:end w:w="120" w:type="dxa"/>
            </w:tcMar>
          </w:tcPr>
          <w:p>
            <w:pPr>
              <w:spacing w:after="0" w:line="252" w:lineRule="auto"/>
            </w:pPr>
            <w:r>
              <w:rPr>
                <w:rFonts w:ascii="Arial" w:hAnsi="Arial"/>
                <w:sz w:val="17"/>
              </w:rPr>
              <w:t>“Built around evidence-backed protein and resistance-training habits.”</w:t>
            </w:r>
          </w:p>
        </w:tc>
      </w:tr>
      <w:tr>
        <w:tc>
          <w:tcPr>
            <w:tcW w:type="dxa" w:w="850"/>
            <w:vAlign w:val="center"/>
            <w:tcMar>
              <w:top w:w="80" w:type="dxa"/>
              <w:start w:w="120" w:type="dxa"/>
              <w:bottom w:w="80" w:type="dxa"/>
              <w:end w:w="120" w:type="dxa"/>
            </w:tcMar>
          </w:tcPr>
          <w:p>
            <w:pPr>
              <w:spacing w:after="0" w:line="252" w:lineRule="auto"/>
            </w:pPr>
            <w:r>
              <w:rPr>
                <w:rFonts w:ascii="Arial" w:hAnsi="Arial"/>
                <w:sz w:val="17"/>
              </w:rPr>
              <w:t>Avoid</w:t>
            </w:r>
          </w:p>
        </w:tc>
        <w:tc>
          <w:tcPr>
            <w:tcW w:type="dxa" w:w="2600"/>
            <w:vAlign w:val="center"/>
            <w:tcMar>
              <w:top w:w="80" w:type="dxa"/>
              <w:start w:w="120" w:type="dxa"/>
              <w:bottom w:w="80" w:type="dxa"/>
              <w:end w:w="120" w:type="dxa"/>
            </w:tcMar>
          </w:tcPr>
          <w:p>
            <w:pPr>
              <w:spacing w:after="0" w:line="252" w:lineRule="auto"/>
            </w:pPr>
            <w:r>
              <w:rPr>
                <w:rFonts w:ascii="Arial" w:hAnsi="Arial"/>
                <w:sz w:val="17"/>
              </w:rPr>
              <w:t>“No rebound.”</w:t>
            </w:r>
          </w:p>
        </w:tc>
        <w:tc>
          <w:tcPr>
            <w:tcW w:type="dxa" w:w="1600"/>
            <w:vAlign w:val="center"/>
            <w:tcMar>
              <w:top w:w="80" w:type="dxa"/>
              <w:start w:w="120" w:type="dxa"/>
              <w:bottom w:w="80" w:type="dxa"/>
              <w:end w:w="120" w:type="dxa"/>
            </w:tcMar>
          </w:tcPr>
          <w:p>
            <w:pPr>
              <w:spacing w:after="0" w:line="252" w:lineRule="auto"/>
            </w:pPr>
            <w:r>
              <w:rPr>
                <w:rFonts w:ascii="Arial" w:hAnsi="Arial"/>
                <w:sz w:val="17"/>
              </w:rPr>
              <w:t>Use</w:t>
            </w:r>
          </w:p>
        </w:tc>
        <w:tc>
          <w:tcPr>
            <w:tcW w:type="dxa" w:w="4310"/>
            <w:vAlign w:val="center"/>
            <w:tcMar>
              <w:top w:w="80" w:type="dxa"/>
              <w:start w:w="120" w:type="dxa"/>
              <w:bottom w:w="80" w:type="dxa"/>
              <w:end w:w="120" w:type="dxa"/>
            </w:tcMar>
          </w:tcPr>
          <w:p>
            <w:pPr>
              <w:spacing w:after="0" w:line="252" w:lineRule="auto"/>
            </w:pPr>
            <w:r>
              <w:rPr>
                <w:rFonts w:ascii="Arial" w:hAnsi="Arial"/>
                <w:sz w:val="17"/>
              </w:rPr>
              <w:t>“Build maintenance habits from day one.”</w:t>
            </w:r>
          </w:p>
        </w:tc>
      </w:tr>
    </w:tbl>
    <w:p>
      <w:pPr>
        <w:spacing w:after="0"/>
      </w:pPr>
    </w:p>
    <w:p>
      <w:r>
        <w:br w:type="page"/>
      </w:r>
    </w:p>
    <w:p>
      <w:pPr>
        <w:pStyle w:val="Heading1"/>
      </w:pPr>
      <w:r>
        <w:t>7. SEO content clusters and article roadmap</w:t>
      </w:r>
    </w:p>
    <w:p>
      <w:r>
        <w:rPr>
          <w:i w:val="0"/>
        </w:rPr>
        <w:t>The SEO opportunity is a hub-and-spoke evidence library that answers high-intent questions without turning every article into a sales page. Medical articles should be reviewed by an appropriately qualified clinician and show author, reviewer, review date, sources and a clear distinction between education and personal medical advice.</w:t>
      </w:r>
    </w:p>
    <w:p>
      <w:pPr>
        <w:pStyle w:val="Heading2"/>
      </w:pPr>
      <w:r>
        <w:t>A. GLP-1 muscle and body composition</w:t>
      </w:r>
    </w:p>
    <w:p>
      <w:pPr>
        <w:pStyle w:val="ListBullet"/>
      </w:pPr>
      <w:r>
        <w:t>Does Ozempic cause muscle loss? What the trials actually measured</w:t>
      </w:r>
    </w:p>
    <w:p>
      <w:pPr>
        <w:pStyle w:val="ListBullet"/>
      </w:pPr>
      <w:r>
        <w:t>Lean mass vs muscle mass: why DEXA headlines can mislead</w:t>
      </w:r>
    </w:p>
    <w:p>
      <w:pPr>
        <w:pStyle w:val="ListBullet"/>
      </w:pPr>
      <w:r>
        <w:t>Semaglutide body composition: the STEP 1 substudy explained</w:t>
      </w:r>
    </w:p>
    <w:p>
      <w:pPr>
        <w:pStyle w:val="ListBullet"/>
      </w:pPr>
      <w:r>
        <w:t>Tirzepatide body composition: the SURMOUNT-1 75/25 finding</w:t>
      </w:r>
    </w:p>
    <w:p>
      <w:pPr>
        <w:pStyle w:val="ListBullet"/>
      </w:pPr>
      <w:r>
        <w:t>Who is most at risk of sarcopenia while losing weight?</w:t>
      </w:r>
    </w:p>
    <w:p>
      <w:pPr>
        <w:pStyle w:val="ListBullet"/>
      </w:pPr>
      <w:r>
        <w:t>Can you gain muscle while taking a GLP-1 medicine?</w:t>
      </w:r>
    </w:p>
    <w:p>
      <w:pPr>
        <w:pStyle w:val="ListBullet"/>
      </w:pPr>
      <w:r>
        <w:t>How to measure muscle and strength during weight loss</w:t>
      </w:r>
    </w:p>
    <w:p>
      <w:pPr>
        <w:pStyle w:val="ListBullet"/>
      </w:pPr>
      <w:r>
        <w:t>GLP-1 weight loss after age 60: muscle, bone and fall risk</w:t>
      </w:r>
    </w:p>
    <w:p>
      <w:pPr>
        <w:pStyle w:val="Heading2"/>
      </w:pPr>
      <w:r>
        <w:t>B. Protein and nutrition with low appetite</w:t>
      </w:r>
    </w:p>
    <w:p>
      <w:pPr>
        <w:pStyle w:val="ListBullet"/>
      </w:pPr>
      <w:r>
        <w:t>How much protein should you eat on a GLP-1?</w:t>
      </w:r>
    </w:p>
    <w:p>
      <w:pPr>
        <w:pStyle w:val="ListBullet"/>
      </w:pPr>
      <w:r>
        <w:t>Goal weight or current weight: which number should set protein?</w:t>
      </w:r>
    </w:p>
    <w:p>
      <w:pPr>
        <w:pStyle w:val="ListBullet"/>
      </w:pPr>
      <w:r>
        <w:t>25 high-protein foods for small appetites</w:t>
      </w:r>
    </w:p>
    <w:p>
      <w:pPr>
        <w:pStyle w:val="ListBullet"/>
      </w:pPr>
      <w:r>
        <w:t>Clear whey vs regular whey for GLP-1 users</w:t>
      </w:r>
    </w:p>
    <w:p>
      <w:pPr>
        <w:pStyle w:val="ListBullet"/>
      </w:pPr>
      <w:r>
        <w:t>Protein first: how to structure a small meal</w:t>
      </w:r>
    </w:p>
    <w:p>
      <w:pPr>
        <w:pStyle w:val="ListBullet"/>
      </w:pPr>
      <w:r>
        <w:t>What to eat when semaglutide makes food unappealing</w:t>
      </w:r>
    </w:p>
    <w:p>
      <w:pPr>
        <w:pStyle w:val="ListBullet"/>
      </w:pPr>
      <w:r>
        <w:t>Micronutrient deficiency risk during rapid weight loss</w:t>
      </w:r>
    </w:p>
    <w:p>
      <w:pPr>
        <w:pStyle w:val="ListBullet"/>
      </w:pPr>
      <w:r>
        <w:t>Protein powder on GLP-1 medication: benefits and limitations</w:t>
      </w:r>
    </w:p>
    <w:p>
      <w:pPr>
        <w:pStyle w:val="Heading2"/>
      </w:pPr>
      <w:r>
        <w:t>C. Training and strength</w:t>
      </w:r>
    </w:p>
    <w:p>
      <w:pPr>
        <w:pStyle w:val="ListBullet"/>
      </w:pPr>
      <w:r>
        <w:t>The two-day GLP-1 strength plan for beginners</w:t>
      </w:r>
    </w:p>
    <w:p>
      <w:pPr>
        <w:pStyle w:val="ListBullet"/>
      </w:pPr>
      <w:r>
        <w:t>Home resistance training when energy is low</w:t>
      </w:r>
    </w:p>
    <w:p>
      <w:pPr>
        <w:pStyle w:val="ListBullet"/>
      </w:pPr>
      <w:r>
        <w:t>Cardio vs weights for preserving lean mass</w:t>
      </w:r>
    </w:p>
    <w:p>
      <w:pPr>
        <w:pStyle w:val="ListBullet"/>
      </w:pPr>
      <w:r>
        <w:t>How hard should you train in a calorie deficit?</w:t>
      </w:r>
    </w:p>
    <w:p>
      <w:pPr>
        <w:pStyle w:val="ListBullet"/>
      </w:pPr>
      <w:r>
        <w:t>Creatine and GLP-1 medication: what is known and unknown</w:t>
      </w:r>
    </w:p>
    <w:p>
      <w:pPr>
        <w:pStyle w:val="ListBullet"/>
      </w:pPr>
      <w:r>
        <w:t>Why scale weight can fall while strength stays stable</w:t>
      </w:r>
    </w:p>
    <w:p>
      <w:pPr>
        <w:pStyle w:val="ListBullet"/>
      </w:pPr>
      <w:r>
        <w:t>Chair-rise, grip and gym tests: a practical tracking guide</w:t>
      </w:r>
    </w:p>
    <w:p>
      <w:pPr>
        <w:pStyle w:val="ListBullet"/>
      </w:pPr>
      <w:r>
        <w:t>A 12-week post-weight-loss body recomposition plan</w:t>
      </w:r>
    </w:p>
    <w:p>
      <w:pPr>
        <w:pStyle w:val="Heading2"/>
      </w:pPr>
      <w:r>
        <w:t>D. Skin, face and hair</w:t>
      </w:r>
    </w:p>
    <w:p>
      <w:pPr>
        <w:pStyle w:val="ListBullet"/>
      </w:pPr>
      <w:r>
        <w:t>What “Ozempic face” really is—and what it is not</w:t>
      </w:r>
    </w:p>
    <w:p>
      <w:pPr>
        <w:pStyle w:val="ListBullet"/>
      </w:pPr>
      <w:r>
        <w:t>Loose skin after weight loss: risk factors and realistic options</w:t>
      </w:r>
    </w:p>
    <w:p>
      <w:pPr>
        <w:pStyle w:val="ListBullet"/>
      </w:pPr>
      <w:r>
        <w:t>Can slower weight loss prevent loose skin?</w:t>
      </w:r>
    </w:p>
    <w:p>
      <w:pPr>
        <w:pStyle w:val="ListBullet"/>
      </w:pPr>
      <w:r>
        <w:t>Does collagen help loose skin after weight loss?</w:t>
      </w:r>
    </w:p>
    <w:p>
      <w:pPr>
        <w:pStyle w:val="ListBullet"/>
      </w:pPr>
      <w:r>
        <w:t>Retinoids, sunscreen and moisturizers after major weight loss</w:t>
      </w:r>
    </w:p>
    <w:p>
      <w:pPr>
        <w:pStyle w:val="ListBullet"/>
      </w:pPr>
      <w:r>
        <w:t>When skin tightening helps—and when surgery is the honest answer</w:t>
      </w:r>
    </w:p>
    <w:p>
      <w:pPr>
        <w:pStyle w:val="ListBullet"/>
      </w:pPr>
      <w:r>
        <w:t>Hair shedding on semaglutide or tirzepatide: label data and causes</w:t>
      </w:r>
    </w:p>
    <w:p>
      <w:pPr>
        <w:pStyle w:val="ListBullet"/>
      </w:pPr>
      <w:r>
        <w:t>Telogen effluvium after rapid weight loss: when to seek help</w:t>
      </w:r>
    </w:p>
    <w:p>
      <w:pPr>
        <w:pStyle w:val="Heading2"/>
      </w:pPr>
      <w:r>
        <w:t>E. Side effects and adherence</w:t>
      </w:r>
    </w:p>
    <w:p>
      <w:pPr>
        <w:pStyle w:val="ListBullet"/>
      </w:pPr>
      <w:r>
        <w:t>High-protein foods that are easier during nausea</w:t>
      </w:r>
    </w:p>
    <w:p>
      <w:pPr>
        <w:pStyle w:val="ListBullet"/>
      </w:pPr>
      <w:r>
        <w:t>Constipation during GLP-1 therapy: food, fluid and red flags</w:t>
      </w:r>
    </w:p>
    <w:p>
      <w:pPr>
        <w:pStyle w:val="ListBullet"/>
      </w:pPr>
      <w:r>
        <w:t>Hydration during GLP-1 weight loss</w:t>
      </w:r>
    </w:p>
    <w:p>
      <w:pPr>
        <w:pStyle w:val="ListBullet"/>
      </w:pPr>
      <w:r>
        <w:t>Why large and high-fat meals may feel harder</w:t>
      </w:r>
    </w:p>
    <w:p>
      <w:pPr>
        <w:pStyle w:val="ListBullet"/>
      </w:pPr>
      <w:r>
        <w:t>Fatigue during weight loss: calories, hydration, sleep and medical causes</w:t>
      </w:r>
    </w:p>
    <w:p>
      <w:pPr>
        <w:pStyle w:val="ListBullet"/>
      </w:pPr>
      <w:r>
        <w:t>When GLP-1 side effects need urgent medical care</w:t>
      </w:r>
    </w:p>
    <w:p>
      <w:pPr>
        <w:pStyle w:val="Heading2"/>
      </w:pPr>
      <w:r>
        <w:t>F. Maintenance and life after weight loss</w:t>
      </w:r>
    </w:p>
    <w:p>
      <w:pPr>
        <w:pStyle w:val="ListBullet"/>
      </w:pPr>
      <w:r>
        <w:t>What happens after stopping semaglutide? STEP 1 extension explained</w:t>
      </w:r>
    </w:p>
    <w:p>
      <w:pPr>
        <w:pStyle w:val="ListBullet"/>
      </w:pPr>
      <w:r>
        <w:t>How to prepare for GLP-1 discontinuation with your clinician</w:t>
      </w:r>
    </w:p>
    <w:p>
      <w:pPr>
        <w:pStyle w:val="ListBullet"/>
      </w:pPr>
      <w:r>
        <w:t>Why weight regain is biology—not failure</w:t>
      </w:r>
    </w:p>
    <w:p>
      <w:pPr>
        <w:pStyle w:val="ListBullet"/>
      </w:pPr>
      <w:r>
        <w:t>The maintenance phase: strength, protein and routine</w:t>
      </w:r>
    </w:p>
    <w:p>
      <w:pPr>
        <w:pStyle w:val="ListBullet"/>
      </w:pPr>
      <w:r>
        <w:t>Rebuilding after major weight loss: a 6-month roadmap</w:t>
      </w:r>
    </w:p>
    <w:p>
      <w:pPr>
        <w:pStyle w:val="ListBullet"/>
      </w:pPr>
      <w:r>
        <w:t>How to avoid the restrict-regain cycle</w:t>
      </w:r>
    </w:p>
    <w:p>
      <w:pPr>
        <w:pStyle w:val="Heading2"/>
      </w:pPr>
      <w:r>
        <w:t>7.1 Search-intent and conversion mapping</w:t>
      </w:r>
    </w:p>
    <w:tbl>
      <w:tblPr>
        <w:tblStyle w:val="TableGrid"/>
        <w:tblW w:type="dxa" w:w="936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500"/>
        <w:gridCol w:w="2400"/>
        <w:gridCol w:w="2700"/>
        <w:gridCol w:w="2760"/>
      </w:tblGrid>
      <w:tr>
        <w:trPr>
          <w:tblHeader w:val="true"/>
        </w:trPr>
        <w:tc>
          <w:tcPr>
            <w:tcW w:type="dxa" w:w="1500"/>
            <w:vAlign w:val="center"/>
            <w:tcMar>
              <w:top w:w="80" w:type="dxa"/>
              <w:start w:w="120" w:type="dxa"/>
              <w:bottom w:w="80" w:type="dxa"/>
              <w:end w:w="120" w:type="dxa"/>
            </w:tcMar>
          </w:tcPr>
          <w:p>
            <w:r>
              <w:rPr>
                <w:rFonts w:ascii="Arial" w:hAnsi="Arial"/>
                <w:b/>
                <w:sz w:val="18"/>
              </w:rPr>
              <w:t>Intent</w:t>
            </w:r>
          </w:p>
        </w:tc>
        <w:tc>
          <w:tcPr>
            <w:tcW w:type="dxa" w:w="2400"/>
            <w:vAlign w:val="center"/>
            <w:tcMar>
              <w:top w:w="80" w:type="dxa"/>
              <w:start w:w="120" w:type="dxa"/>
              <w:bottom w:w="80" w:type="dxa"/>
              <w:end w:w="120" w:type="dxa"/>
            </w:tcMar>
          </w:tcPr>
          <w:p>
            <w:r>
              <w:rPr>
                <w:rFonts w:ascii="Arial" w:hAnsi="Arial"/>
                <w:b/>
                <w:sz w:val="18"/>
              </w:rPr>
              <w:t>Example query</w:t>
            </w:r>
          </w:p>
        </w:tc>
        <w:tc>
          <w:tcPr>
            <w:tcW w:type="dxa" w:w="2700"/>
            <w:vAlign w:val="center"/>
            <w:tcMar>
              <w:top w:w="80" w:type="dxa"/>
              <w:start w:w="120" w:type="dxa"/>
              <w:bottom w:w="80" w:type="dxa"/>
              <w:end w:w="120" w:type="dxa"/>
            </w:tcMar>
          </w:tcPr>
          <w:p>
            <w:r>
              <w:rPr>
                <w:rFonts w:ascii="Arial" w:hAnsi="Arial"/>
                <w:b/>
                <w:sz w:val="18"/>
              </w:rPr>
              <w:t>Best content</w:t>
            </w:r>
          </w:p>
        </w:tc>
        <w:tc>
          <w:tcPr>
            <w:tcW w:type="dxa" w:w="2760"/>
            <w:vAlign w:val="center"/>
            <w:tcMar>
              <w:top w:w="80" w:type="dxa"/>
              <w:start w:w="120" w:type="dxa"/>
              <w:bottom w:w="80" w:type="dxa"/>
              <w:end w:w="120" w:type="dxa"/>
            </w:tcMar>
          </w:tcPr>
          <w:p>
            <w:r>
              <w:rPr>
                <w:rFonts w:ascii="Arial" w:hAnsi="Arial"/>
                <w:b/>
                <w:sz w:val="18"/>
              </w:rPr>
              <w:t>Conversion</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Informational medical</w:t>
            </w:r>
          </w:p>
        </w:tc>
        <w:tc>
          <w:tcPr>
            <w:tcW w:type="dxa" w:w="2400"/>
            <w:vAlign w:val="center"/>
            <w:tcMar>
              <w:top w:w="80" w:type="dxa"/>
              <w:start w:w="120" w:type="dxa"/>
              <w:bottom w:w="80" w:type="dxa"/>
              <w:end w:w="120" w:type="dxa"/>
            </w:tcMar>
          </w:tcPr>
          <w:p>
            <w:pPr>
              <w:spacing w:after="0" w:line="252" w:lineRule="auto"/>
            </w:pPr>
            <w:r>
              <w:rPr>
                <w:rFonts w:ascii="Arial" w:hAnsi="Arial"/>
                <w:sz w:val="17"/>
              </w:rPr>
              <w:t>“does ozempic cause muscle loss”</w:t>
            </w:r>
          </w:p>
        </w:tc>
        <w:tc>
          <w:tcPr>
            <w:tcW w:type="dxa" w:w="2700"/>
            <w:vAlign w:val="center"/>
            <w:tcMar>
              <w:top w:w="80" w:type="dxa"/>
              <w:start w:w="120" w:type="dxa"/>
              <w:bottom w:w="80" w:type="dxa"/>
              <w:end w:w="120" w:type="dxa"/>
            </w:tcMar>
          </w:tcPr>
          <w:p>
            <w:pPr>
              <w:spacing w:after="0" w:line="252" w:lineRule="auto"/>
            </w:pPr>
            <w:r>
              <w:rPr>
                <w:rFonts w:ascii="Arial" w:hAnsi="Arial"/>
                <w:sz w:val="17"/>
              </w:rPr>
              <w:t>Neutral evidence explainer</w:t>
            </w:r>
          </w:p>
        </w:tc>
        <w:tc>
          <w:tcPr>
            <w:tcW w:type="dxa" w:w="2760"/>
            <w:vAlign w:val="center"/>
            <w:tcMar>
              <w:top w:w="80" w:type="dxa"/>
              <w:start w:w="120" w:type="dxa"/>
              <w:bottom w:w="80" w:type="dxa"/>
              <w:end w:w="120" w:type="dxa"/>
            </w:tcMar>
          </w:tcPr>
          <w:p>
            <w:pPr>
              <w:spacing w:after="0" w:line="252" w:lineRule="auto"/>
            </w:pPr>
            <w:r>
              <w:rPr>
                <w:rFonts w:ascii="Arial" w:hAnsi="Arial"/>
                <w:sz w:val="17"/>
              </w:rPr>
              <w:t>Read related guide; clinician directory</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Problem-aware</w:t>
            </w:r>
          </w:p>
        </w:tc>
        <w:tc>
          <w:tcPr>
            <w:tcW w:type="dxa" w:w="2400"/>
            <w:vAlign w:val="center"/>
            <w:tcMar>
              <w:top w:w="80" w:type="dxa"/>
              <w:start w:w="120" w:type="dxa"/>
              <w:bottom w:w="80" w:type="dxa"/>
              <w:end w:w="120" w:type="dxa"/>
            </w:tcMar>
          </w:tcPr>
          <w:p>
            <w:pPr>
              <w:spacing w:after="0" w:line="252" w:lineRule="auto"/>
            </w:pPr>
            <w:r>
              <w:rPr>
                <w:rFonts w:ascii="Arial" w:hAnsi="Arial"/>
                <w:sz w:val="17"/>
              </w:rPr>
              <w:t>“how to keep muscle on wegovy”</w:t>
            </w:r>
          </w:p>
        </w:tc>
        <w:tc>
          <w:tcPr>
            <w:tcW w:type="dxa" w:w="2700"/>
            <w:vAlign w:val="center"/>
            <w:tcMar>
              <w:top w:w="80" w:type="dxa"/>
              <w:start w:w="120" w:type="dxa"/>
              <w:bottom w:w="80" w:type="dxa"/>
              <w:end w:w="120" w:type="dxa"/>
            </w:tcMar>
          </w:tcPr>
          <w:p>
            <w:pPr>
              <w:spacing w:after="0" w:line="252" w:lineRule="auto"/>
            </w:pPr>
            <w:r>
              <w:rPr>
                <w:rFonts w:ascii="Arial" w:hAnsi="Arial"/>
                <w:sz w:val="17"/>
              </w:rPr>
              <w:t>Action framework + limitations</w:t>
            </w:r>
          </w:p>
        </w:tc>
        <w:tc>
          <w:tcPr>
            <w:tcW w:type="dxa" w:w="2760"/>
            <w:vAlign w:val="center"/>
            <w:tcMar>
              <w:top w:w="80" w:type="dxa"/>
              <w:start w:w="120" w:type="dxa"/>
              <w:bottom w:w="80" w:type="dxa"/>
              <w:end w:w="120" w:type="dxa"/>
            </w:tcMar>
          </w:tcPr>
          <w:p>
            <w:pPr>
              <w:spacing w:after="0" w:line="252" w:lineRule="auto"/>
            </w:pPr>
            <w:r>
              <w:rPr>
                <w:rFonts w:ascii="Arial" w:hAnsi="Arial"/>
                <w:sz w:val="17"/>
              </w:rPr>
              <w:t>Take body-recomposition quiz</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Product-aware</w:t>
            </w:r>
          </w:p>
        </w:tc>
        <w:tc>
          <w:tcPr>
            <w:tcW w:type="dxa" w:w="2400"/>
            <w:vAlign w:val="center"/>
            <w:tcMar>
              <w:top w:w="80" w:type="dxa"/>
              <w:start w:w="120" w:type="dxa"/>
              <w:bottom w:w="80" w:type="dxa"/>
              <w:end w:w="120" w:type="dxa"/>
            </w:tcMar>
          </w:tcPr>
          <w:p>
            <w:pPr>
              <w:spacing w:after="0" w:line="252" w:lineRule="auto"/>
            </w:pPr>
            <w:r>
              <w:rPr>
                <w:rFonts w:ascii="Arial" w:hAnsi="Arial"/>
                <w:sz w:val="17"/>
              </w:rPr>
              <w:t>“best protein powder on GLP-1”</w:t>
            </w:r>
          </w:p>
        </w:tc>
        <w:tc>
          <w:tcPr>
            <w:tcW w:type="dxa" w:w="2700"/>
            <w:vAlign w:val="center"/>
            <w:tcMar>
              <w:top w:w="80" w:type="dxa"/>
              <w:start w:w="120" w:type="dxa"/>
              <w:bottom w:w="80" w:type="dxa"/>
              <w:end w:w="120" w:type="dxa"/>
            </w:tcMar>
          </w:tcPr>
          <w:p>
            <w:pPr>
              <w:spacing w:after="0" w:line="252" w:lineRule="auto"/>
            </w:pPr>
            <w:r>
              <w:rPr>
                <w:rFonts w:ascii="Arial" w:hAnsi="Arial"/>
                <w:sz w:val="17"/>
              </w:rPr>
              <w:t>Format and tolerance comparison</w:t>
            </w:r>
          </w:p>
        </w:tc>
        <w:tc>
          <w:tcPr>
            <w:tcW w:type="dxa" w:w="2760"/>
            <w:vAlign w:val="center"/>
            <w:tcMar>
              <w:top w:w="80" w:type="dxa"/>
              <w:start w:w="120" w:type="dxa"/>
              <w:bottom w:w="80" w:type="dxa"/>
              <w:end w:w="120" w:type="dxa"/>
            </w:tcMar>
          </w:tcPr>
          <w:p>
            <w:pPr>
              <w:spacing w:after="0" w:line="252" w:lineRule="auto"/>
            </w:pPr>
            <w:r>
              <w:rPr>
                <w:rFonts w:ascii="Arial" w:hAnsi="Arial"/>
                <w:sz w:val="17"/>
              </w:rPr>
              <w:t>Try clear-protein starter</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Training intent</w:t>
            </w:r>
          </w:p>
        </w:tc>
        <w:tc>
          <w:tcPr>
            <w:tcW w:type="dxa" w:w="2400"/>
            <w:vAlign w:val="center"/>
            <w:tcMar>
              <w:top w:w="80" w:type="dxa"/>
              <w:start w:w="120" w:type="dxa"/>
              <w:bottom w:w="80" w:type="dxa"/>
              <w:end w:w="120" w:type="dxa"/>
            </w:tcMar>
          </w:tcPr>
          <w:p>
            <w:pPr>
              <w:spacing w:after="0" w:line="252" w:lineRule="auto"/>
            </w:pPr>
            <w:r>
              <w:rPr>
                <w:rFonts w:ascii="Arial" w:hAnsi="Arial"/>
                <w:sz w:val="17"/>
              </w:rPr>
              <w:t>“GLP-1 strength training plan”</w:t>
            </w:r>
          </w:p>
        </w:tc>
        <w:tc>
          <w:tcPr>
            <w:tcW w:type="dxa" w:w="2700"/>
            <w:vAlign w:val="center"/>
            <w:tcMar>
              <w:top w:w="80" w:type="dxa"/>
              <w:start w:w="120" w:type="dxa"/>
              <w:bottom w:w="80" w:type="dxa"/>
              <w:end w:w="120" w:type="dxa"/>
            </w:tcMar>
          </w:tcPr>
          <w:p>
            <w:pPr>
              <w:spacing w:after="0" w:line="252" w:lineRule="auto"/>
            </w:pPr>
            <w:r>
              <w:rPr>
                <w:rFonts w:ascii="Arial" w:hAnsi="Arial"/>
                <w:sz w:val="17"/>
              </w:rPr>
              <w:t>Beginner program</w:t>
            </w:r>
          </w:p>
        </w:tc>
        <w:tc>
          <w:tcPr>
            <w:tcW w:type="dxa" w:w="2760"/>
            <w:vAlign w:val="center"/>
            <w:tcMar>
              <w:top w:w="80" w:type="dxa"/>
              <w:start w:w="120" w:type="dxa"/>
              <w:bottom w:w="80" w:type="dxa"/>
              <w:end w:w="120" w:type="dxa"/>
            </w:tcMar>
          </w:tcPr>
          <w:p>
            <w:pPr>
              <w:spacing w:after="0" w:line="252" w:lineRule="auto"/>
            </w:pPr>
            <w:r>
              <w:rPr>
                <w:rFonts w:ascii="Arial" w:hAnsi="Arial"/>
                <w:sz w:val="17"/>
              </w:rPr>
              <w:t>Create 12-week plan/account</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Appearance intent</w:t>
            </w:r>
          </w:p>
        </w:tc>
        <w:tc>
          <w:tcPr>
            <w:tcW w:type="dxa" w:w="2400"/>
            <w:vAlign w:val="center"/>
            <w:tcMar>
              <w:top w:w="80" w:type="dxa"/>
              <w:start w:w="120" w:type="dxa"/>
              <w:bottom w:w="80" w:type="dxa"/>
              <w:end w:w="120" w:type="dxa"/>
            </w:tcMar>
          </w:tcPr>
          <w:p>
            <w:pPr>
              <w:spacing w:after="0" w:line="252" w:lineRule="auto"/>
            </w:pPr>
            <w:r>
              <w:rPr>
                <w:rFonts w:ascii="Arial" w:hAnsi="Arial"/>
                <w:sz w:val="17"/>
              </w:rPr>
              <w:t>“ozempic face loose skin”</w:t>
            </w:r>
          </w:p>
        </w:tc>
        <w:tc>
          <w:tcPr>
            <w:tcW w:type="dxa" w:w="2700"/>
            <w:vAlign w:val="center"/>
            <w:tcMar>
              <w:top w:w="80" w:type="dxa"/>
              <w:start w:w="120" w:type="dxa"/>
              <w:bottom w:w="80" w:type="dxa"/>
              <w:end w:w="120" w:type="dxa"/>
            </w:tcMar>
          </w:tcPr>
          <w:p>
            <w:pPr>
              <w:spacing w:after="0" w:line="252" w:lineRule="auto"/>
            </w:pPr>
            <w:r>
              <w:rPr>
                <w:rFonts w:ascii="Arial" w:hAnsi="Arial"/>
                <w:sz w:val="17"/>
              </w:rPr>
              <w:t>Honest options ladder</w:t>
            </w:r>
          </w:p>
        </w:tc>
        <w:tc>
          <w:tcPr>
            <w:tcW w:type="dxa" w:w="2760"/>
            <w:vAlign w:val="center"/>
            <w:tcMar>
              <w:top w:w="80" w:type="dxa"/>
              <w:start w:w="120" w:type="dxa"/>
              <w:bottom w:w="80" w:type="dxa"/>
              <w:end w:w="120" w:type="dxa"/>
            </w:tcMar>
          </w:tcPr>
          <w:p>
            <w:pPr>
              <w:spacing w:after="0" w:line="252" w:lineRule="auto"/>
            </w:pPr>
            <w:r>
              <w:rPr>
                <w:rFonts w:ascii="Arial" w:hAnsi="Arial"/>
                <w:sz w:val="17"/>
              </w:rPr>
              <w:t>Skin/strength track; specialist referral</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Maintenance intent</w:t>
            </w:r>
          </w:p>
        </w:tc>
        <w:tc>
          <w:tcPr>
            <w:tcW w:type="dxa" w:w="2400"/>
            <w:vAlign w:val="center"/>
            <w:tcMar>
              <w:top w:w="80" w:type="dxa"/>
              <w:start w:w="120" w:type="dxa"/>
              <w:bottom w:w="80" w:type="dxa"/>
              <w:end w:w="120" w:type="dxa"/>
            </w:tcMar>
          </w:tcPr>
          <w:p>
            <w:pPr>
              <w:spacing w:after="0" w:line="252" w:lineRule="auto"/>
            </w:pPr>
            <w:r>
              <w:rPr>
                <w:rFonts w:ascii="Arial" w:hAnsi="Arial"/>
                <w:sz w:val="17"/>
              </w:rPr>
              <w:t>“weight regain after stopping semaglutide”</w:t>
            </w:r>
          </w:p>
        </w:tc>
        <w:tc>
          <w:tcPr>
            <w:tcW w:type="dxa" w:w="2700"/>
            <w:vAlign w:val="center"/>
            <w:tcMar>
              <w:top w:w="80" w:type="dxa"/>
              <w:start w:w="120" w:type="dxa"/>
              <w:bottom w:w="80" w:type="dxa"/>
              <w:end w:w="120" w:type="dxa"/>
            </w:tcMar>
          </w:tcPr>
          <w:p>
            <w:pPr>
              <w:spacing w:after="0" w:line="252" w:lineRule="auto"/>
            </w:pPr>
            <w:r>
              <w:rPr>
                <w:rFonts w:ascii="Arial" w:hAnsi="Arial"/>
                <w:sz w:val="17"/>
              </w:rPr>
              <w:t>Trial data + preparation</w:t>
            </w:r>
          </w:p>
        </w:tc>
        <w:tc>
          <w:tcPr>
            <w:tcW w:type="dxa" w:w="2760"/>
            <w:vAlign w:val="center"/>
            <w:tcMar>
              <w:top w:w="80" w:type="dxa"/>
              <w:start w:w="120" w:type="dxa"/>
              <w:bottom w:w="80" w:type="dxa"/>
              <w:end w:w="120" w:type="dxa"/>
            </w:tcMar>
          </w:tcPr>
          <w:p>
            <w:pPr>
              <w:spacing w:after="0" w:line="252" w:lineRule="auto"/>
            </w:pPr>
            <w:r>
              <w:rPr>
                <w:rFonts w:ascii="Arial" w:hAnsi="Arial"/>
                <w:sz w:val="17"/>
              </w:rPr>
              <w:t>Maintenance-plan waitlist</w:t>
            </w:r>
          </w:p>
        </w:tc>
      </w:tr>
    </w:tbl>
    <w:p>
      <w:pPr>
        <w:spacing w:after="0"/>
      </w:pPr>
    </w:p>
    <w:p>
      <w:pPr>
        <w:pStyle w:val="Heading2"/>
      </w:pPr>
      <w:r>
        <w:t>7.2 Editorial quality system</w:t>
      </w:r>
    </w:p>
    <w:p>
      <w:pPr>
        <w:pStyle w:val="ListBullet"/>
      </w:pPr>
      <w:r>
        <w:t>Every statistic links to the original paper, FDA label or public dataset—not another brand’s blog.</w:t>
      </w:r>
    </w:p>
    <w:p>
      <w:pPr>
        <w:pStyle w:val="ListBullet"/>
      </w:pPr>
      <w:r>
        <w:t>Show the population, intervention, comparator, time point and absolute numbers where possible.</w:t>
      </w:r>
    </w:p>
    <w:p>
      <w:pPr>
        <w:pStyle w:val="ListBullet"/>
      </w:pPr>
      <w:r>
        <w:t>Use “associated with” for observational data and reserve causal language for randomized evidence.</w:t>
      </w:r>
    </w:p>
    <w:p>
      <w:pPr>
        <w:pStyle w:val="ListBullet"/>
      </w:pPr>
      <w:r>
        <w:t>Include an “What this study cannot tell us” box in every research explainer.</w:t>
      </w:r>
    </w:p>
    <w:p>
      <w:pPr>
        <w:pStyle w:val="ListBullet"/>
      </w:pPr>
      <w:r>
        <w:t>Update drug labels and prevalence statistics at least quarterly; stamp the last medical review date.</w:t>
      </w:r>
    </w:p>
    <w:p>
      <w:pPr>
        <w:pStyle w:val="ListBullet"/>
      </w:pPr>
      <w:r>
        <w:t>Disclose industry funding and conflicts when they materially affect interpretation.</w:t>
      </w:r>
    </w:p>
    <w:p>
      <w:pPr>
        <w:pStyle w:val="ListBullet"/>
      </w:pPr>
      <w:r>
        <w:t>Do not use before/after imagery that implies guaranteed outcomes or stigmatizes larger bodies.</w:t>
      </w:r>
    </w:p>
    <w:p>
      <w:pPr>
        <w:pStyle w:val="ListBullet"/>
      </w:pPr>
      <w:r>
        <w:t>Keep supplement CTAs separate from emergency symptoms and medication safety guidance.</w:t>
      </w:r>
    </w:p>
    <w:p>
      <w:pPr>
        <w:pStyle w:val="Heading1"/>
      </w:pPr>
      <w:r>
        <w:t>8. Priority article briefs</w:t>
      </w:r>
    </w:p>
    <w:p>
      <w:pPr>
        <w:pStyle w:val="Heading2"/>
      </w:pPr>
      <w:r>
        <w:t>Does Ozempic cause muscle loss?</w:t>
      </w:r>
    </w:p>
    <w:p>
      <w:r>
        <w:rPr>
          <w:b/>
        </w:rPr>
        <w:t>Objective:</w:t>
      </w:r>
      <w:r>
        <w:rPr>
          <w:i w:val="0"/>
        </w:rPr>
        <w:t xml:space="preserve"> Win the highest-value misconception query and establish Peptis as the measured voice.</w:t>
      </w:r>
    </w:p>
    <w:p>
      <w:r>
        <w:rPr>
          <w:b/>
        </w:rPr>
        <w:t>Core sections:</w:t>
      </w:r>
      <w:r>
        <w:rPr>
          <w:i w:val="0"/>
        </w:rPr>
        <w:t xml:space="preserve"> Define lean mass; STEP 1; 25% meta-analysis; function vs mass; risk groups; protein + resistance; what remains unknown.</w:t>
      </w:r>
    </w:p>
    <w:p>
      <w:r>
        <w:rPr>
          <w:b/>
        </w:rPr>
        <w:t>Lead takeaway:</w:t>
      </w:r>
      <w:r>
        <w:rPr>
          <w:i w:val="0"/>
        </w:rPr>
        <w:t xml:space="preserve"> “GLP-1 weight loss can include lean tissue, but the viral claim that the drug simply burns muscle is too crude.”</w:t>
      </w:r>
    </w:p>
    <w:p>
      <w:r>
        <w:rPr>
          <w:b/>
        </w:rPr>
        <w:t>CTA:</w:t>
      </w:r>
      <w:r>
        <w:rPr>
          <w:i w:val="0"/>
        </w:rPr>
        <w:t xml:space="preserve"> Quiz: strength/protein risk score.</w:t>
      </w:r>
    </w:p>
    <w:p>
      <w:pPr>
        <w:pStyle w:val="Heading2"/>
      </w:pPr>
      <w:r>
        <w:t>Lean mass vs muscle mass</w:t>
      </w:r>
    </w:p>
    <w:p>
      <w:r>
        <w:rPr>
          <w:b/>
        </w:rPr>
        <w:t>Objective:</w:t>
      </w:r>
      <w:r>
        <w:rPr>
          <w:i w:val="0"/>
        </w:rPr>
        <w:t xml:space="preserve"> Create the citation target that every future body-composition article can link to.</w:t>
      </w:r>
    </w:p>
    <w:p>
      <w:r>
        <w:rPr>
          <w:b/>
        </w:rPr>
        <w:t>Core sections:</w:t>
      </w:r>
      <w:r>
        <w:rPr>
          <w:i w:val="0"/>
        </w:rPr>
        <w:t xml:space="preserve"> Four-compartment model; DEXA limits; water/glycogen; MRI/CT; appendicular lean mass; strength/function.</w:t>
      </w:r>
    </w:p>
    <w:p>
      <w:r>
        <w:rPr>
          <w:b/>
        </w:rPr>
        <w:t>Lead takeaway:</w:t>
      </w:r>
      <w:r>
        <w:rPr>
          <w:i w:val="0"/>
        </w:rPr>
        <w:t xml:space="preserve"> “A DEXA lean-mass change is not a direct measurement of contractile muscle.”</w:t>
      </w:r>
    </w:p>
    <w:p>
      <w:r>
        <w:rPr>
          <w:b/>
        </w:rPr>
        <w:t>CTA:</w:t>
      </w:r>
      <w:r>
        <w:rPr>
          <w:i w:val="0"/>
        </w:rPr>
        <w:t xml:space="preserve"> Download tracking checklist.</w:t>
      </w:r>
    </w:p>
    <w:p>
      <w:pPr>
        <w:pStyle w:val="Heading2"/>
      </w:pPr>
      <w:r>
        <w:t>How much protein on a GLP-1?</w:t>
      </w:r>
    </w:p>
    <w:p>
      <w:r>
        <w:rPr>
          <w:b/>
        </w:rPr>
        <w:t>Objective:</w:t>
      </w:r>
      <w:r>
        <w:rPr>
          <w:i w:val="0"/>
        </w:rPr>
        <w:t xml:space="preserve"> Capture practical intent close to product purchase.</w:t>
      </w:r>
    </w:p>
    <w:p>
      <w:r>
        <w:rPr>
          <w:b/>
        </w:rPr>
        <w:t>Core sections:</w:t>
      </w:r>
      <w:r>
        <w:rPr>
          <w:i w:val="0"/>
        </w:rPr>
        <w:t xml:space="preserve"> 1.2-1.6 g/kg evidence; denominator problem; per-meal dosing; food first; kidney/liver cautions; sample day.</w:t>
      </w:r>
    </w:p>
    <w:p>
      <w:r>
        <w:rPr>
          <w:b/>
        </w:rPr>
        <w:t>Lead takeaway:</w:t>
      </w:r>
      <w:r>
        <w:rPr>
          <w:i w:val="0"/>
        </w:rPr>
        <w:t xml:space="preserve"> “The best target is the one a qualified professional can personalize and you can consistently tolerate.”</w:t>
      </w:r>
    </w:p>
    <w:p>
      <w:r>
        <w:rPr>
          <w:b/>
        </w:rPr>
        <w:t>CTA:</w:t>
      </w:r>
      <w:r>
        <w:rPr>
          <w:i w:val="0"/>
        </w:rPr>
        <w:t xml:space="preserve"> Clear protein sample or plan builder.</w:t>
      </w:r>
    </w:p>
    <w:p>
      <w:pPr>
        <w:pStyle w:val="Heading2"/>
      </w:pPr>
      <w:r>
        <w:t>The two-day strength plan</w:t>
      </w:r>
    </w:p>
    <w:p>
      <w:r>
        <w:rPr>
          <w:b/>
        </w:rPr>
        <w:t>Objective:</w:t>
      </w:r>
      <w:r>
        <w:rPr>
          <w:i w:val="0"/>
        </w:rPr>
        <w:t xml:space="preserve"> Convert concerned beginners into the account/program.</w:t>
      </w:r>
    </w:p>
    <w:p>
      <w:r>
        <w:rPr>
          <w:b/>
        </w:rPr>
        <w:t>Core sections:</w:t>
      </w:r>
      <w:r>
        <w:rPr>
          <w:i w:val="0"/>
        </w:rPr>
        <w:t xml:space="preserve"> Six movements; sets/reps/RIR; progressions; home/gym substitutions; nausea/fatigue modifications; red flags.</w:t>
      </w:r>
    </w:p>
    <w:p>
      <w:r>
        <w:rPr>
          <w:b/>
        </w:rPr>
        <w:t>Lead takeaway:</w:t>
      </w:r>
      <w:r>
        <w:rPr>
          <w:i w:val="0"/>
        </w:rPr>
        <w:t xml:space="preserve"> “Two well-designed full-body sessions beat a perfect plan you never start.”</w:t>
      </w:r>
    </w:p>
    <w:p>
      <w:r>
        <w:rPr>
          <w:b/>
        </w:rPr>
        <w:t>CTA:</w:t>
      </w:r>
      <w:r>
        <w:rPr>
          <w:i w:val="0"/>
        </w:rPr>
        <w:t xml:space="preserve"> Add sessions to calendar.</w:t>
      </w:r>
    </w:p>
    <w:p>
      <w:pPr>
        <w:pStyle w:val="Heading2"/>
      </w:pPr>
      <w:r>
        <w:t>Ozempic face: science vs hype</w:t>
      </w:r>
    </w:p>
    <w:p>
      <w:r>
        <w:rPr>
          <w:b/>
        </w:rPr>
        <w:t>Objective:</w:t>
      </w:r>
      <w:r>
        <w:rPr>
          <w:i w:val="0"/>
        </w:rPr>
        <w:t xml:space="preserve"> Capture high-volume appearance concern without exploiting it.</w:t>
      </w:r>
    </w:p>
    <w:p>
      <w:r>
        <w:rPr>
          <w:b/>
        </w:rPr>
        <w:t>Core sections:</w:t>
      </w:r>
      <w:r>
        <w:rPr>
          <w:i w:val="0"/>
        </w:rPr>
        <w:t xml:space="preserve"> Volume loss; age/skin quality; no proven direct collagen toxicity; prevention limits; dermatologist/plastic surgery options.</w:t>
      </w:r>
    </w:p>
    <w:p>
      <w:r>
        <w:rPr>
          <w:b/>
        </w:rPr>
        <w:t>Lead takeaway:</w:t>
      </w:r>
      <w:r>
        <w:rPr>
          <w:i w:val="0"/>
        </w:rPr>
        <w:t xml:space="preserve"> “The medicine is not selectively aging your face; rapid tissue-volume loss can reveal or accelerate visible laxity.”</w:t>
      </w:r>
    </w:p>
    <w:p>
      <w:r>
        <w:rPr>
          <w:b/>
        </w:rPr>
        <w:t>CTA:</w:t>
      </w:r>
      <w:r>
        <w:rPr>
          <w:i w:val="0"/>
        </w:rPr>
        <w:t xml:space="preserve"> Skin-confidence track / specialist guide.</w:t>
      </w:r>
    </w:p>
    <w:p>
      <w:pPr>
        <w:pStyle w:val="Heading2"/>
      </w:pPr>
      <w:r>
        <w:t>Does collagen prevent loose skin?</w:t>
      </w:r>
    </w:p>
    <w:p>
      <w:r>
        <w:rPr>
          <w:b/>
        </w:rPr>
        <w:t>Objective:</w:t>
      </w:r>
      <w:r>
        <w:rPr>
          <w:i w:val="0"/>
        </w:rPr>
        <w:t xml:space="preserve"> Build trust by challenging a commercially convenient claim.</w:t>
      </w:r>
    </w:p>
    <w:p>
      <w:r>
        <w:rPr>
          <w:b/>
        </w:rPr>
        <w:t>Core sections:</w:t>
      </w:r>
      <w:r>
        <w:rPr>
          <w:i w:val="0"/>
        </w:rPr>
        <w:t xml:space="preserve"> Conflicting meta-analyses; 2025 funding/quality analysis; no GLP-1-specific prevention trials; complete protein distinction.</w:t>
      </w:r>
    </w:p>
    <w:p>
      <w:r>
        <w:rPr>
          <w:b/>
        </w:rPr>
        <w:t>Lead takeaway:</w:t>
      </w:r>
      <w:r>
        <w:rPr>
          <w:i w:val="0"/>
        </w:rPr>
        <w:t xml:space="preserve"> “Collagen may affect surface measures in some trials, but it has not been shown to prevent excess skin after major weight loss.”</w:t>
      </w:r>
    </w:p>
    <w:p>
      <w:r>
        <w:rPr>
          <w:b/>
        </w:rPr>
        <w:t>CTA:</w:t>
      </w:r>
      <w:r>
        <w:rPr>
          <w:i w:val="0"/>
        </w:rPr>
        <w:t xml:space="preserve"> Protein guide, not collagen upsell.</w:t>
      </w:r>
    </w:p>
    <w:p>
      <w:pPr>
        <w:pStyle w:val="Heading2"/>
      </w:pPr>
      <w:r>
        <w:t>Creatine on GLP-1 medication</w:t>
      </w:r>
    </w:p>
    <w:p>
      <w:r>
        <w:rPr>
          <w:b/>
        </w:rPr>
        <w:t>Objective:</w:t>
      </w:r>
      <w:r>
        <w:rPr>
          <w:i w:val="0"/>
        </w:rPr>
        <w:t xml:space="preserve"> Support the creatine product while staying scientifically accurate.</w:t>
      </w:r>
    </w:p>
    <w:p>
      <w:r>
        <w:rPr>
          <w:b/>
        </w:rPr>
        <w:t>Core sections:</w:t>
      </w:r>
      <w:r>
        <w:rPr>
          <w:i w:val="0"/>
        </w:rPr>
        <w:t xml:space="preserve"> Mechanism; strength evidence; water/DEXA issue; dose; safety; no direct GLP-1 trial.</w:t>
      </w:r>
    </w:p>
    <w:p>
      <w:r>
        <w:rPr>
          <w:b/>
        </w:rPr>
        <w:t>Lead takeaway:</w:t>
      </w:r>
      <w:r>
        <w:rPr>
          <w:i w:val="0"/>
        </w:rPr>
        <w:t xml:space="preserve"> “Creatine can support training; it is not proven as a medication-side-effect antidote.”</w:t>
      </w:r>
    </w:p>
    <w:p>
      <w:r>
        <w:rPr>
          <w:b/>
        </w:rPr>
        <w:t>CTA:</w:t>
      </w:r>
      <w:r>
        <w:rPr>
          <w:i w:val="0"/>
        </w:rPr>
        <w:t xml:space="preserve"> Creatine + training bundle.</w:t>
      </w:r>
    </w:p>
    <w:p>
      <w:pPr>
        <w:pStyle w:val="Heading2"/>
      </w:pPr>
      <w:r>
        <w:t>What happens after stopping semaglutide?</w:t>
      </w:r>
    </w:p>
    <w:p>
      <w:r>
        <w:rPr>
          <w:b/>
        </w:rPr>
        <w:t>Objective:</w:t>
      </w:r>
      <w:r>
        <w:rPr>
          <w:i w:val="0"/>
        </w:rPr>
        <w:t xml:space="preserve"> Own maintenance intent and future membership.</w:t>
      </w:r>
    </w:p>
    <w:p>
      <w:r>
        <w:rPr>
          <w:b/>
        </w:rPr>
        <w:t>Core sections:</w:t>
      </w:r>
      <w:r>
        <w:rPr>
          <w:i w:val="0"/>
        </w:rPr>
        <w:t xml:space="preserve"> STEP 1 extension; STEP 4; chronic disease framing; clinician plan; routines; monitoring; psychological support.</w:t>
      </w:r>
    </w:p>
    <w:p>
      <w:r>
        <w:rPr>
          <w:b/>
        </w:rPr>
        <w:t>Lead takeaway:</w:t>
      </w:r>
      <w:r>
        <w:rPr>
          <w:i w:val="0"/>
        </w:rPr>
        <w:t xml:space="preserve"> “Regain is common biology, not proof you failed.”</w:t>
      </w:r>
    </w:p>
    <w:p>
      <w:r>
        <w:rPr>
          <w:b/>
        </w:rPr>
        <w:t>CTA:</w:t>
      </w:r>
      <w:r>
        <w:rPr>
          <w:i w:val="0"/>
        </w:rPr>
        <w:t xml:space="preserve"> Maintenance program waitlist.</w:t>
      </w:r>
    </w:p>
    <w:p>
      <w:pPr>
        <w:pStyle w:val="Heading1"/>
      </w:pPr>
      <w:r>
        <w:t>9. Evidence gaps and product R&amp;D priorities</w:t>
      </w:r>
    </w:p>
    <w:p>
      <w:pPr>
        <w:pStyle w:val="Heading2"/>
      </w:pPr>
      <w:r>
        <w:t>9.1 What is not yet established</w:t>
      </w:r>
    </w:p>
    <w:p>
      <w:pPr>
        <w:pStyle w:val="ListBullet"/>
      </w:pPr>
      <w:r>
        <w:t>No large randomized trial has shown that a commercial protein supplement prevents skeletal-muscle loss specifically during semaglutide or tirzepatide treatment.</w:t>
      </w:r>
    </w:p>
    <w:p>
      <w:pPr>
        <w:pStyle w:val="ListBullet"/>
      </w:pPr>
      <w:r>
        <w:t>The optimal protein target, dose distribution and denominator for diverse GLP-1 users are not established by drug-specific trials.</w:t>
      </w:r>
    </w:p>
    <w:p>
      <w:pPr>
        <w:pStyle w:val="ListBullet"/>
      </w:pPr>
      <w:r>
        <w:t>The ideal resistance-training dose during modern incretin therapy is inferred mainly from general weight-loss and sports-science evidence.</w:t>
      </w:r>
    </w:p>
    <w:p>
      <w:pPr>
        <w:pStyle w:val="ListBullet"/>
      </w:pPr>
      <w:r>
        <w:t>Creatine has plausible and general training evidence but limited direct GLP-1-specific evidence.</w:t>
      </w:r>
    </w:p>
    <w:p>
      <w:pPr>
        <w:pStyle w:val="ListBullet"/>
      </w:pPr>
      <w:r>
        <w:t>No supplement has been shown to prevent clinically meaningful loose skin during GLP-1-assisted weight loss.</w:t>
      </w:r>
    </w:p>
    <w:p>
      <w:pPr>
        <w:pStyle w:val="ListBullet"/>
      </w:pPr>
      <w:r>
        <w:t>There is limited long-term body-composition and functional data in older, frail, CKD, liver-disease and multimorbid populations.</w:t>
      </w:r>
    </w:p>
    <w:p>
      <w:pPr>
        <w:pStyle w:val="ListBullet"/>
      </w:pPr>
      <w:r>
        <w:t>There is no consensus that a specific maximum rate of GLP-1 weight loss prevents skin laxity or muscle loss independent of total loss and care quality.</w:t>
      </w:r>
    </w:p>
    <w:p>
      <w:pPr>
        <w:pStyle w:val="ListBullet"/>
      </w:pPr>
      <w:r>
        <w:t>Consumer BIA devices cannot validate a muscle-preservation claim with the rigor of an appropriately designed clinical study.</w:t>
      </w:r>
    </w:p>
    <w:p>
      <w:pPr>
        <w:pStyle w:val="Heading2"/>
      </w:pPr>
      <w:r>
        <w:t>9.2 Peptis evidence-generation plan</w:t>
      </w:r>
    </w:p>
    <w:p>
      <w:pPr>
        <w:pStyle w:val="ListBullet"/>
      </w:pPr>
      <w:r>
        <w:t>Stage 1 — Product quality: identity, dose, microbiology, heavy metals, contaminants, sensory testing, stability and batch-level COAs.</w:t>
      </w:r>
    </w:p>
    <w:p>
      <w:pPr>
        <w:pStyle w:val="ListBullet"/>
      </w:pPr>
      <w:r>
        <w:t>Stage 2 — Usability: 4-8 week prospective study of adherence, tolerance, protein-goal attainment and product satisfaction. Avoid efficacy language.</w:t>
      </w:r>
    </w:p>
    <w:p>
      <w:pPr>
        <w:pStyle w:val="ListBullet"/>
      </w:pPr>
      <w:r>
        <w:t>Stage 3 — Program feasibility: standardized resistance program plus protein support; measure retention, workout completion, protein intake and adverse events.</w:t>
      </w:r>
    </w:p>
    <w:p>
      <w:pPr>
        <w:pStyle w:val="ListBullet"/>
      </w:pPr>
      <w:r>
        <w:t>Stage 4 — Outcomes pilot: pre-register a 12-24 week protocol with a comparator; measure weight, waist, DEXA or MRI where feasible, grip/chair-rise and strength progression.</w:t>
      </w:r>
    </w:p>
    <w:p>
      <w:pPr>
        <w:pStyle w:val="ListBullet"/>
      </w:pPr>
      <w:r>
        <w:t>Stage 5 — Claim substantiation: independent statistical analysis, adverse-event monitoring, transparent funding and a claim-by-claim regulatory review.</w:t>
      </w:r>
    </w:p>
    <w:p>
      <w:pPr>
        <w:pStyle w:val="Heading2"/>
      </w:pPr>
      <w:r>
        <w:t>9.3 Recommended product role</w:t>
      </w:r>
    </w:p>
    <w:p>
      <w:r>
        <w:rPr>
          <w:i w:val="0"/>
        </w:rPr>
        <w:t>For the supplements-first MVP, the clearest role is a convenient, low-volume complete-protein product plus plain creatine monohydrate, supported by a detailed training and monitoring system. Clear whey is a format advantage when appetite is low; it is not clinically superior to all other complete proteins. Casein can serve evening or satiety use, but it may be less appealing when fullness or GI symptoms are prominent. BCAA products should not lead the line because a complete protein already supplies essential amino acids and has stronger utility for meeting total protein goals.</w:t>
      </w:r>
    </w:p>
    <w:p>
      <w:r>
        <w:rPr>
          <w:i w:val="0"/>
        </w:rPr>
        <w:t>PeptiStrong or other branded peptides should remain optional until the actual dose, finished-product stability, sensory performance, human evidence and permissible claims justify their cost. Ingredient-sponsored studies do not automatically substantiate a Peptis blend. Collagen should not displace complete protein and should not be positioned as loose-skin prevention.</w:t>
      </w:r>
    </w:p>
    <w:p>
      <w:r>
        <w:br w:type="page"/>
      </w:r>
    </w:p>
    <w:p>
      <w:pPr>
        <w:pStyle w:val="Heading1"/>
      </w:pPr>
      <w:r>
        <w:t>Appendix A. Study digest</w:t>
      </w:r>
    </w:p>
    <w:tbl>
      <w:tblPr>
        <w:tblStyle w:val="TableGrid"/>
        <w:tblW w:type="dxa" w:w="9360"/>
        <w:jc w:val="lef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500"/>
        <w:gridCol w:w="2250"/>
        <w:gridCol w:w="2400"/>
        <w:gridCol w:w="2510"/>
        <w:gridCol w:w="700"/>
      </w:tblGrid>
      <w:tr>
        <w:trPr>
          <w:tblHeader w:val="true"/>
        </w:trPr>
        <w:tc>
          <w:tcPr>
            <w:tcW w:type="dxa" w:w="1500"/>
            <w:vAlign w:val="center"/>
            <w:tcMar>
              <w:top w:w="80" w:type="dxa"/>
              <w:start w:w="120" w:type="dxa"/>
              <w:bottom w:w="80" w:type="dxa"/>
              <w:end w:w="120" w:type="dxa"/>
            </w:tcMar>
          </w:tcPr>
          <w:p>
            <w:r>
              <w:rPr>
                <w:rFonts w:ascii="Arial" w:hAnsi="Arial"/>
                <w:b/>
                <w:sz w:val="18"/>
              </w:rPr>
              <w:t>Study/source</w:t>
            </w:r>
          </w:p>
        </w:tc>
        <w:tc>
          <w:tcPr>
            <w:tcW w:type="dxa" w:w="2250"/>
            <w:vAlign w:val="center"/>
            <w:tcMar>
              <w:top w:w="80" w:type="dxa"/>
              <w:start w:w="120" w:type="dxa"/>
              <w:bottom w:w="80" w:type="dxa"/>
              <w:end w:w="120" w:type="dxa"/>
            </w:tcMar>
          </w:tcPr>
          <w:p>
            <w:r>
              <w:rPr>
                <w:rFonts w:ascii="Arial" w:hAnsi="Arial"/>
                <w:b/>
                <w:sz w:val="18"/>
              </w:rPr>
              <w:t>Design</w:t>
            </w:r>
          </w:p>
        </w:tc>
        <w:tc>
          <w:tcPr>
            <w:tcW w:type="dxa" w:w="2400"/>
            <w:vAlign w:val="center"/>
            <w:tcMar>
              <w:top w:w="80" w:type="dxa"/>
              <w:start w:w="120" w:type="dxa"/>
              <w:bottom w:w="80" w:type="dxa"/>
              <w:end w:w="120" w:type="dxa"/>
            </w:tcMar>
          </w:tcPr>
          <w:p>
            <w:r>
              <w:rPr>
                <w:rFonts w:ascii="Arial" w:hAnsi="Arial"/>
                <w:b/>
                <w:sz w:val="18"/>
              </w:rPr>
              <w:t>Key result</w:t>
            </w:r>
          </w:p>
        </w:tc>
        <w:tc>
          <w:tcPr>
            <w:tcW w:type="dxa" w:w="2510"/>
            <w:vAlign w:val="center"/>
            <w:tcMar>
              <w:top w:w="80" w:type="dxa"/>
              <w:start w:w="120" w:type="dxa"/>
              <w:bottom w:w="80" w:type="dxa"/>
              <w:end w:w="120" w:type="dxa"/>
            </w:tcMar>
          </w:tcPr>
          <w:p>
            <w:r>
              <w:rPr>
                <w:rFonts w:ascii="Arial" w:hAnsi="Arial"/>
                <w:b/>
                <w:sz w:val="18"/>
              </w:rPr>
              <w:t>Interpretation limit</w:t>
            </w:r>
          </w:p>
        </w:tc>
        <w:tc>
          <w:tcPr>
            <w:tcW w:type="dxa" w:w="700"/>
            <w:vAlign w:val="center"/>
            <w:tcMar>
              <w:top w:w="80" w:type="dxa"/>
              <w:start w:w="120" w:type="dxa"/>
              <w:bottom w:w="80" w:type="dxa"/>
              <w:end w:w="120" w:type="dxa"/>
            </w:tcMar>
          </w:tcPr>
          <w:p>
            <w:r>
              <w:rPr>
                <w:rFonts w:ascii="Arial" w:hAnsi="Arial"/>
                <w:b/>
                <w:sz w:val="18"/>
              </w:rPr>
              <w:t>Ref</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STEP 1</w:t>
            </w:r>
          </w:p>
        </w:tc>
        <w:tc>
          <w:tcPr>
            <w:tcW w:type="dxa" w:w="2250"/>
            <w:vAlign w:val="center"/>
            <w:tcMar>
              <w:top w:w="80" w:type="dxa"/>
              <w:start w:w="120" w:type="dxa"/>
              <w:bottom w:w="80" w:type="dxa"/>
              <w:end w:w="120" w:type="dxa"/>
            </w:tcMar>
          </w:tcPr>
          <w:p>
            <w:pPr>
              <w:spacing w:after="0" w:line="252" w:lineRule="auto"/>
            </w:pPr>
            <w:r>
              <w:rPr>
                <w:rFonts w:ascii="Arial" w:hAnsi="Arial"/>
                <w:sz w:val="17"/>
              </w:rPr>
              <w:t>RCT, 1,961 adults without diabetes, 68 wk</w:t>
            </w:r>
          </w:p>
        </w:tc>
        <w:tc>
          <w:tcPr>
            <w:tcW w:type="dxa" w:w="2400"/>
            <w:vAlign w:val="center"/>
            <w:tcMar>
              <w:top w:w="80" w:type="dxa"/>
              <w:start w:w="120" w:type="dxa"/>
              <w:bottom w:w="80" w:type="dxa"/>
              <w:end w:w="120" w:type="dxa"/>
            </w:tcMar>
          </w:tcPr>
          <w:p>
            <w:pPr>
              <w:spacing w:after="0" w:line="252" w:lineRule="auto"/>
            </w:pPr>
            <w:r>
              <w:rPr>
                <w:rFonts w:ascii="Arial" w:hAnsi="Arial"/>
                <w:sz w:val="17"/>
              </w:rPr>
              <w:t>Semaglutide 2.4 mg: -14.9% weight vs -2.4% placebo.</w:t>
            </w:r>
          </w:p>
        </w:tc>
        <w:tc>
          <w:tcPr>
            <w:tcW w:type="dxa" w:w="2510"/>
            <w:vAlign w:val="center"/>
            <w:tcMar>
              <w:top w:w="80" w:type="dxa"/>
              <w:start w:w="120" w:type="dxa"/>
              <w:bottom w:w="80" w:type="dxa"/>
              <w:end w:w="120" w:type="dxa"/>
            </w:tcMar>
          </w:tcPr>
          <w:p>
            <w:pPr>
              <w:spacing w:after="0" w:line="252" w:lineRule="auto"/>
            </w:pPr>
            <w:r>
              <w:rPr>
                <w:rFonts w:ascii="Arial" w:hAnsi="Arial"/>
                <w:sz w:val="17"/>
              </w:rPr>
              <w:t>Weight efficacy; not a muscle trial.</w:t>
            </w:r>
          </w:p>
        </w:tc>
        <w:tc>
          <w:tcPr>
            <w:tcW w:type="dxa" w:w="700"/>
            <w:vAlign w:val="center"/>
            <w:tcMar>
              <w:top w:w="80" w:type="dxa"/>
              <w:start w:w="120" w:type="dxa"/>
              <w:bottom w:w="80" w:type="dxa"/>
              <w:end w:w="120" w:type="dxa"/>
            </w:tcMar>
          </w:tcPr>
          <w:p>
            <w:pPr>
              <w:spacing w:after="0" w:line="252" w:lineRule="auto"/>
            </w:pPr>
            <w:r>
              <w:rPr>
                <w:rFonts w:ascii="Arial" w:hAnsi="Arial"/>
                <w:sz w:val="17"/>
              </w:rPr>
              <w:t>[1]</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SURMOUNT-1</w:t>
            </w:r>
          </w:p>
        </w:tc>
        <w:tc>
          <w:tcPr>
            <w:tcW w:type="dxa" w:w="2250"/>
            <w:vAlign w:val="center"/>
            <w:tcMar>
              <w:top w:w="80" w:type="dxa"/>
              <w:start w:w="120" w:type="dxa"/>
              <w:bottom w:w="80" w:type="dxa"/>
              <w:end w:w="120" w:type="dxa"/>
            </w:tcMar>
          </w:tcPr>
          <w:p>
            <w:pPr>
              <w:spacing w:after="0" w:line="252" w:lineRule="auto"/>
            </w:pPr>
            <w:r>
              <w:rPr>
                <w:rFonts w:ascii="Arial" w:hAnsi="Arial"/>
                <w:sz w:val="17"/>
              </w:rPr>
              <w:t>RCT, 2,539 adults without diabetes, 72 wk</w:t>
            </w:r>
          </w:p>
        </w:tc>
        <w:tc>
          <w:tcPr>
            <w:tcW w:type="dxa" w:w="2400"/>
            <w:vAlign w:val="center"/>
            <w:tcMar>
              <w:top w:w="80" w:type="dxa"/>
              <w:start w:w="120" w:type="dxa"/>
              <w:bottom w:w="80" w:type="dxa"/>
              <w:end w:w="120" w:type="dxa"/>
            </w:tcMar>
          </w:tcPr>
          <w:p>
            <w:pPr>
              <w:spacing w:after="0" w:line="252" w:lineRule="auto"/>
            </w:pPr>
            <w:r>
              <w:rPr>
                <w:rFonts w:ascii="Arial" w:hAnsi="Arial"/>
                <w:sz w:val="17"/>
              </w:rPr>
              <w:t>Tirzepatide: -15.0% to -20.9% vs -3.1%.</w:t>
            </w:r>
          </w:p>
        </w:tc>
        <w:tc>
          <w:tcPr>
            <w:tcW w:type="dxa" w:w="2510"/>
            <w:vAlign w:val="center"/>
            <w:tcMar>
              <w:top w:w="80" w:type="dxa"/>
              <w:start w:w="120" w:type="dxa"/>
              <w:bottom w:w="80" w:type="dxa"/>
              <w:end w:w="120" w:type="dxa"/>
            </w:tcMar>
          </w:tcPr>
          <w:p>
            <w:pPr>
              <w:spacing w:after="0" w:line="252" w:lineRule="auto"/>
            </w:pPr>
            <w:r>
              <w:rPr>
                <w:rFonts w:ascii="Arial" w:hAnsi="Arial"/>
                <w:sz w:val="17"/>
              </w:rPr>
              <w:t>Trial setting; dose-specific.</w:t>
            </w:r>
          </w:p>
        </w:tc>
        <w:tc>
          <w:tcPr>
            <w:tcW w:type="dxa" w:w="700"/>
            <w:vAlign w:val="center"/>
            <w:tcMar>
              <w:top w:w="80" w:type="dxa"/>
              <w:start w:w="120" w:type="dxa"/>
              <w:bottom w:w="80" w:type="dxa"/>
              <w:end w:w="120" w:type="dxa"/>
            </w:tcMar>
          </w:tcPr>
          <w:p>
            <w:pPr>
              <w:spacing w:after="0" w:line="252" w:lineRule="auto"/>
            </w:pPr>
            <w:r>
              <w:rPr>
                <w:rFonts w:ascii="Arial" w:hAnsi="Arial"/>
                <w:sz w:val="17"/>
              </w:rPr>
              <w:t>[2]</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SELECT</w:t>
            </w:r>
          </w:p>
        </w:tc>
        <w:tc>
          <w:tcPr>
            <w:tcW w:type="dxa" w:w="2250"/>
            <w:vAlign w:val="center"/>
            <w:tcMar>
              <w:top w:w="80" w:type="dxa"/>
              <w:start w:w="120" w:type="dxa"/>
              <w:bottom w:w="80" w:type="dxa"/>
              <w:end w:w="120" w:type="dxa"/>
            </w:tcMar>
          </w:tcPr>
          <w:p>
            <w:pPr>
              <w:spacing w:after="0" w:line="252" w:lineRule="auto"/>
            </w:pPr>
            <w:r>
              <w:rPr>
                <w:rFonts w:ascii="Arial" w:hAnsi="Arial"/>
                <w:sz w:val="17"/>
              </w:rPr>
              <w:t>CV outcomes RCT, 17,604, established CVD, no diabetes</w:t>
            </w:r>
          </w:p>
        </w:tc>
        <w:tc>
          <w:tcPr>
            <w:tcW w:type="dxa" w:w="2400"/>
            <w:vAlign w:val="center"/>
            <w:tcMar>
              <w:top w:w="80" w:type="dxa"/>
              <w:start w:w="120" w:type="dxa"/>
              <w:bottom w:w="80" w:type="dxa"/>
              <w:end w:w="120" w:type="dxa"/>
            </w:tcMar>
          </w:tcPr>
          <w:p>
            <w:pPr>
              <w:spacing w:after="0" w:line="252" w:lineRule="auto"/>
            </w:pPr>
            <w:r>
              <w:rPr>
                <w:rFonts w:ascii="Arial" w:hAnsi="Arial"/>
                <w:sz w:val="17"/>
              </w:rPr>
              <w:t>MACE 6.5% vs 8.0%; HR 0.80.</w:t>
            </w:r>
          </w:p>
        </w:tc>
        <w:tc>
          <w:tcPr>
            <w:tcW w:type="dxa" w:w="2510"/>
            <w:vAlign w:val="center"/>
            <w:tcMar>
              <w:top w:w="80" w:type="dxa"/>
              <w:start w:w="120" w:type="dxa"/>
              <w:bottom w:w="80" w:type="dxa"/>
              <w:end w:w="120" w:type="dxa"/>
            </w:tcMar>
          </w:tcPr>
          <w:p>
            <w:pPr>
              <w:spacing w:after="0" w:line="252" w:lineRule="auto"/>
            </w:pPr>
            <w:r>
              <w:rPr>
                <w:rFonts w:ascii="Arial" w:hAnsi="Arial"/>
                <w:sz w:val="17"/>
              </w:rPr>
              <w:t>High-risk secondary prevention population.</w:t>
            </w:r>
          </w:p>
        </w:tc>
        <w:tc>
          <w:tcPr>
            <w:tcW w:type="dxa" w:w="700"/>
            <w:vAlign w:val="center"/>
            <w:tcMar>
              <w:top w:w="80" w:type="dxa"/>
              <w:start w:w="120" w:type="dxa"/>
              <w:bottom w:w="80" w:type="dxa"/>
              <w:end w:w="120" w:type="dxa"/>
            </w:tcMar>
          </w:tcPr>
          <w:p>
            <w:pPr>
              <w:spacing w:after="0" w:line="252" w:lineRule="auto"/>
            </w:pPr>
            <w:r>
              <w:rPr>
                <w:rFonts w:ascii="Arial" w:hAnsi="Arial"/>
                <w:sz w:val="17"/>
              </w:rPr>
              <w:t>[3]</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SELECT weight</w:t>
            </w:r>
          </w:p>
        </w:tc>
        <w:tc>
          <w:tcPr>
            <w:tcW w:type="dxa" w:w="2250"/>
            <w:vAlign w:val="center"/>
            <w:tcMar>
              <w:top w:w="80" w:type="dxa"/>
              <w:start w:w="120" w:type="dxa"/>
              <w:bottom w:w="80" w:type="dxa"/>
              <w:end w:w="120" w:type="dxa"/>
            </w:tcMar>
          </w:tcPr>
          <w:p>
            <w:pPr>
              <w:spacing w:after="0" w:line="252" w:lineRule="auto"/>
            </w:pPr>
            <w:r>
              <w:rPr>
                <w:rFonts w:ascii="Arial" w:hAnsi="Arial"/>
                <w:sz w:val="17"/>
              </w:rPr>
              <w:t>Prespecified 4-y analysis</w:t>
            </w:r>
          </w:p>
        </w:tc>
        <w:tc>
          <w:tcPr>
            <w:tcW w:type="dxa" w:w="2400"/>
            <w:vAlign w:val="center"/>
            <w:tcMar>
              <w:top w:w="80" w:type="dxa"/>
              <w:start w:w="120" w:type="dxa"/>
              <w:bottom w:w="80" w:type="dxa"/>
              <w:end w:w="120" w:type="dxa"/>
            </w:tcMar>
          </w:tcPr>
          <w:p>
            <w:pPr>
              <w:spacing w:after="0" w:line="252" w:lineRule="auto"/>
            </w:pPr>
            <w:r>
              <w:rPr>
                <w:rFonts w:ascii="Arial" w:hAnsi="Arial"/>
                <w:sz w:val="17"/>
              </w:rPr>
              <w:t>-10.2% at 208 wk vs -1.5%.</w:t>
            </w:r>
          </w:p>
        </w:tc>
        <w:tc>
          <w:tcPr>
            <w:tcW w:type="dxa" w:w="2510"/>
            <w:vAlign w:val="center"/>
            <w:tcMar>
              <w:top w:w="80" w:type="dxa"/>
              <w:start w:w="120" w:type="dxa"/>
              <w:bottom w:w="80" w:type="dxa"/>
              <w:end w:w="120" w:type="dxa"/>
            </w:tcMar>
          </w:tcPr>
          <w:p>
            <w:pPr>
              <w:spacing w:after="0" w:line="252" w:lineRule="auto"/>
            </w:pPr>
            <w:r>
              <w:rPr>
                <w:rFonts w:ascii="Arial" w:hAnsi="Arial"/>
                <w:sz w:val="17"/>
              </w:rPr>
              <w:t>Different population from STEP 1.</w:t>
            </w:r>
          </w:p>
        </w:tc>
        <w:tc>
          <w:tcPr>
            <w:tcW w:type="dxa" w:w="700"/>
            <w:vAlign w:val="center"/>
            <w:tcMar>
              <w:top w:w="80" w:type="dxa"/>
              <w:start w:w="120" w:type="dxa"/>
              <w:bottom w:w="80" w:type="dxa"/>
              <w:end w:w="120" w:type="dxa"/>
            </w:tcMar>
          </w:tcPr>
          <w:p>
            <w:pPr>
              <w:spacing w:after="0" w:line="252" w:lineRule="auto"/>
            </w:pPr>
            <w:r>
              <w:rPr>
                <w:rFonts w:ascii="Arial" w:hAnsi="Arial"/>
                <w:sz w:val="17"/>
              </w:rPr>
              <w:t>[4]</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STEP-HFpEF</w:t>
            </w:r>
          </w:p>
        </w:tc>
        <w:tc>
          <w:tcPr>
            <w:tcW w:type="dxa" w:w="2250"/>
            <w:vAlign w:val="center"/>
            <w:tcMar>
              <w:top w:w="80" w:type="dxa"/>
              <w:start w:w="120" w:type="dxa"/>
              <w:bottom w:w="80" w:type="dxa"/>
              <w:end w:w="120" w:type="dxa"/>
            </w:tcMar>
          </w:tcPr>
          <w:p>
            <w:pPr>
              <w:spacing w:after="0" w:line="252" w:lineRule="auto"/>
            </w:pPr>
            <w:r>
              <w:rPr>
                <w:rFonts w:ascii="Arial" w:hAnsi="Arial"/>
                <w:sz w:val="17"/>
              </w:rPr>
              <w:t>RCT, obesity + HFpEF, 52 wk</w:t>
            </w:r>
          </w:p>
        </w:tc>
        <w:tc>
          <w:tcPr>
            <w:tcW w:type="dxa" w:w="2400"/>
            <w:vAlign w:val="center"/>
            <w:tcMar>
              <w:top w:w="80" w:type="dxa"/>
              <w:start w:w="120" w:type="dxa"/>
              <w:bottom w:w="80" w:type="dxa"/>
              <w:end w:w="120" w:type="dxa"/>
            </w:tcMar>
          </w:tcPr>
          <w:p>
            <w:pPr>
              <w:spacing w:after="0" w:line="252" w:lineRule="auto"/>
            </w:pPr>
            <w:r>
              <w:rPr>
                <w:rFonts w:ascii="Arial" w:hAnsi="Arial"/>
                <w:sz w:val="17"/>
              </w:rPr>
              <w:t>KCCQ +16.6 vs +8.7; weight -13.3% vs -2.6%.</w:t>
            </w:r>
          </w:p>
        </w:tc>
        <w:tc>
          <w:tcPr>
            <w:tcW w:type="dxa" w:w="2510"/>
            <w:vAlign w:val="center"/>
            <w:tcMar>
              <w:top w:w="80" w:type="dxa"/>
              <w:start w:w="120" w:type="dxa"/>
              <w:bottom w:w="80" w:type="dxa"/>
              <w:end w:w="120" w:type="dxa"/>
            </w:tcMar>
          </w:tcPr>
          <w:p>
            <w:pPr>
              <w:spacing w:after="0" w:line="252" w:lineRule="auto"/>
            </w:pPr>
            <w:r>
              <w:rPr>
                <w:rFonts w:ascii="Arial" w:hAnsi="Arial"/>
                <w:sz w:val="17"/>
              </w:rPr>
              <w:t>Disease-specific.</w:t>
            </w:r>
          </w:p>
        </w:tc>
        <w:tc>
          <w:tcPr>
            <w:tcW w:type="dxa" w:w="700"/>
            <w:vAlign w:val="center"/>
            <w:tcMar>
              <w:top w:w="80" w:type="dxa"/>
              <w:start w:w="120" w:type="dxa"/>
              <w:bottom w:w="80" w:type="dxa"/>
              <w:end w:w="120" w:type="dxa"/>
            </w:tcMar>
          </w:tcPr>
          <w:p>
            <w:pPr>
              <w:spacing w:after="0" w:line="252" w:lineRule="auto"/>
            </w:pPr>
            <w:r>
              <w:rPr>
                <w:rFonts w:ascii="Arial" w:hAnsi="Arial"/>
                <w:sz w:val="17"/>
              </w:rPr>
              <w:t>[5]</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FLOW</w:t>
            </w:r>
          </w:p>
        </w:tc>
        <w:tc>
          <w:tcPr>
            <w:tcW w:type="dxa" w:w="2250"/>
            <w:vAlign w:val="center"/>
            <w:tcMar>
              <w:top w:w="80" w:type="dxa"/>
              <w:start w:w="120" w:type="dxa"/>
              <w:bottom w:w="80" w:type="dxa"/>
              <w:end w:w="120" w:type="dxa"/>
            </w:tcMar>
          </w:tcPr>
          <w:p>
            <w:pPr>
              <w:spacing w:after="0" w:line="252" w:lineRule="auto"/>
            </w:pPr>
            <w:r>
              <w:rPr>
                <w:rFonts w:ascii="Arial" w:hAnsi="Arial"/>
                <w:sz w:val="17"/>
              </w:rPr>
              <w:t>Kidney outcomes RCT, T2D + CKD</w:t>
            </w:r>
          </w:p>
        </w:tc>
        <w:tc>
          <w:tcPr>
            <w:tcW w:type="dxa" w:w="2400"/>
            <w:vAlign w:val="center"/>
            <w:tcMar>
              <w:top w:w="80" w:type="dxa"/>
              <w:start w:w="120" w:type="dxa"/>
              <w:bottom w:w="80" w:type="dxa"/>
              <w:end w:w="120" w:type="dxa"/>
            </w:tcMar>
          </w:tcPr>
          <w:p>
            <w:pPr>
              <w:spacing w:after="0" w:line="252" w:lineRule="auto"/>
            </w:pPr>
            <w:r>
              <w:rPr>
                <w:rFonts w:ascii="Arial" w:hAnsi="Arial"/>
                <w:sz w:val="17"/>
              </w:rPr>
              <w:t>24% relative reduction in primary kidney/CV outcome.</w:t>
            </w:r>
          </w:p>
        </w:tc>
        <w:tc>
          <w:tcPr>
            <w:tcW w:type="dxa" w:w="2510"/>
            <w:vAlign w:val="center"/>
            <w:tcMar>
              <w:top w:w="80" w:type="dxa"/>
              <w:start w:w="120" w:type="dxa"/>
              <w:bottom w:w="80" w:type="dxa"/>
              <w:end w:w="120" w:type="dxa"/>
            </w:tcMar>
          </w:tcPr>
          <w:p>
            <w:pPr>
              <w:spacing w:after="0" w:line="252" w:lineRule="auto"/>
            </w:pPr>
            <w:r>
              <w:rPr>
                <w:rFonts w:ascii="Arial" w:hAnsi="Arial"/>
                <w:sz w:val="17"/>
              </w:rPr>
              <w:t>Not general obesity population.</w:t>
            </w:r>
          </w:p>
        </w:tc>
        <w:tc>
          <w:tcPr>
            <w:tcW w:type="dxa" w:w="700"/>
            <w:vAlign w:val="center"/>
            <w:tcMar>
              <w:top w:w="80" w:type="dxa"/>
              <w:start w:w="120" w:type="dxa"/>
              <w:bottom w:w="80" w:type="dxa"/>
              <w:end w:w="120" w:type="dxa"/>
            </w:tcMar>
          </w:tcPr>
          <w:p>
            <w:pPr>
              <w:spacing w:after="0" w:line="252" w:lineRule="auto"/>
            </w:pPr>
            <w:r>
              <w:rPr>
                <w:rFonts w:ascii="Arial" w:hAnsi="Arial"/>
                <w:sz w:val="17"/>
              </w:rPr>
              <w:t>[6]</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SURMOUNT-OSA</w:t>
            </w:r>
          </w:p>
        </w:tc>
        <w:tc>
          <w:tcPr>
            <w:tcW w:type="dxa" w:w="2250"/>
            <w:vAlign w:val="center"/>
            <w:tcMar>
              <w:top w:w="80" w:type="dxa"/>
              <w:start w:w="120" w:type="dxa"/>
              <w:bottom w:w="80" w:type="dxa"/>
              <w:end w:w="120" w:type="dxa"/>
            </w:tcMar>
          </w:tcPr>
          <w:p>
            <w:pPr>
              <w:spacing w:after="0" w:line="252" w:lineRule="auto"/>
            </w:pPr>
            <w:r>
              <w:rPr>
                <w:rFonts w:ascii="Arial" w:hAnsi="Arial"/>
                <w:sz w:val="17"/>
              </w:rPr>
              <w:t>Two RCTs, 469 adults with obesity + OSA</w:t>
            </w:r>
          </w:p>
        </w:tc>
        <w:tc>
          <w:tcPr>
            <w:tcW w:type="dxa" w:w="2400"/>
            <w:vAlign w:val="center"/>
            <w:tcMar>
              <w:top w:w="80" w:type="dxa"/>
              <w:start w:w="120" w:type="dxa"/>
              <w:bottom w:w="80" w:type="dxa"/>
              <w:end w:w="120" w:type="dxa"/>
            </w:tcMar>
          </w:tcPr>
          <w:p>
            <w:pPr>
              <w:spacing w:after="0" w:line="252" w:lineRule="auto"/>
            </w:pPr>
            <w:r>
              <w:rPr>
                <w:rFonts w:ascii="Arial" w:hAnsi="Arial"/>
                <w:sz w:val="17"/>
              </w:rPr>
              <w:t>Reduced AHI, hypoxic burden and weight.</w:t>
            </w:r>
          </w:p>
        </w:tc>
        <w:tc>
          <w:tcPr>
            <w:tcW w:type="dxa" w:w="2510"/>
            <w:vAlign w:val="center"/>
            <w:tcMar>
              <w:top w:w="80" w:type="dxa"/>
              <w:start w:w="120" w:type="dxa"/>
              <w:bottom w:w="80" w:type="dxa"/>
              <w:end w:w="120" w:type="dxa"/>
            </w:tcMar>
          </w:tcPr>
          <w:p>
            <w:pPr>
              <w:spacing w:after="0" w:line="252" w:lineRule="auto"/>
            </w:pPr>
            <w:r>
              <w:rPr>
                <w:rFonts w:ascii="Arial" w:hAnsi="Arial"/>
                <w:sz w:val="17"/>
              </w:rPr>
              <w:t>Does not replace individual PAP advice.</w:t>
            </w:r>
          </w:p>
        </w:tc>
        <w:tc>
          <w:tcPr>
            <w:tcW w:type="dxa" w:w="700"/>
            <w:vAlign w:val="center"/>
            <w:tcMar>
              <w:top w:w="80" w:type="dxa"/>
              <w:start w:w="120" w:type="dxa"/>
              <w:bottom w:w="80" w:type="dxa"/>
              <w:end w:w="120" w:type="dxa"/>
            </w:tcMar>
          </w:tcPr>
          <w:p>
            <w:pPr>
              <w:spacing w:after="0" w:line="252" w:lineRule="auto"/>
            </w:pPr>
            <w:r>
              <w:rPr>
                <w:rFonts w:ascii="Arial" w:hAnsi="Arial"/>
                <w:sz w:val="17"/>
              </w:rPr>
              <w:t>[7]</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SURMOUNT diabetes prevention</w:t>
            </w:r>
          </w:p>
        </w:tc>
        <w:tc>
          <w:tcPr>
            <w:tcW w:type="dxa" w:w="2250"/>
            <w:vAlign w:val="center"/>
            <w:tcMar>
              <w:top w:w="80" w:type="dxa"/>
              <w:start w:w="120" w:type="dxa"/>
              <w:bottom w:w="80" w:type="dxa"/>
              <w:end w:w="120" w:type="dxa"/>
            </w:tcMar>
          </w:tcPr>
          <w:p>
            <w:pPr>
              <w:spacing w:after="0" w:line="252" w:lineRule="auto"/>
            </w:pPr>
            <w:r>
              <w:rPr>
                <w:rFonts w:ascii="Arial" w:hAnsi="Arial"/>
                <w:sz w:val="17"/>
              </w:rPr>
              <w:t>176-wk extension, obesity + prediabetes</w:t>
            </w:r>
          </w:p>
        </w:tc>
        <w:tc>
          <w:tcPr>
            <w:tcW w:type="dxa" w:w="2400"/>
            <w:vAlign w:val="center"/>
            <w:tcMar>
              <w:top w:w="80" w:type="dxa"/>
              <w:start w:w="120" w:type="dxa"/>
              <w:bottom w:w="80" w:type="dxa"/>
              <w:end w:w="120" w:type="dxa"/>
            </w:tcMar>
          </w:tcPr>
          <w:p>
            <w:pPr>
              <w:spacing w:after="0" w:line="252" w:lineRule="auto"/>
            </w:pPr>
            <w:r>
              <w:rPr>
                <w:rFonts w:ascii="Arial" w:hAnsi="Arial"/>
                <w:sz w:val="17"/>
              </w:rPr>
              <w:t>94% relative reduction in progression to T2D.</w:t>
            </w:r>
          </w:p>
        </w:tc>
        <w:tc>
          <w:tcPr>
            <w:tcW w:type="dxa" w:w="2510"/>
            <w:vAlign w:val="center"/>
            <w:tcMar>
              <w:top w:w="80" w:type="dxa"/>
              <w:start w:w="120" w:type="dxa"/>
              <w:bottom w:w="80" w:type="dxa"/>
              <w:end w:w="120" w:type="dxa"/>
            </w:tcMar>
          </w:tcPr>
          <w:p>
            <w:pPr>
              <w:spacing w:after="0" w:line="252" w:lineRule="auto"/>
            </w:pPr>
            <w:r>
              <w:rPr>
                <w:rFonts w:ascii="Arial" w:hAnsi="Arial"/>
                <w:sz w:val="17"/>
              </w:rPr>
              <w:t>During treatment; selected subgroup.</w:t>
            </w:r>
          </w:p>
        </w:tc>
        <w:tc>
          <w:tcPr>
            <w:tcW w:type="dxa" w:w="700"/>
            <w:vAlign w:val="center"/>
            <w:tcMar>
              <w:top w:w="80" w:type="dxa"/>
              <w:start w:w="120" w:type="dxa"/>
              <w:bottom w:w="80" w:type="dxa"/>
              <w:end w:w="120" w:type="dxa"/>
            </w:tcMar>
          </w:tcPr>
          <w:p>
            <w:pPr>
              <w:spacing w:after="0" w:line="252" w:lineRule="auto"/>
            </w:pPr>
            <w:r>
              <w:rPr>
                <w:rFonts w:ascii="Arial" w:hAnsi="Arial"/>
                <w:sz w:val="17"/>
              </w:rPr>
              <w:t>[8]</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STEP 1 extension</w:t>
            </w:r>
          </w:p>
        </w:tc>
        <w:tc>
          <w:tcPr>
            <w:tcW w:type="dxa" w:w="2250"/>
            <w:vAlign w:val="center"/>
            <w:tcMar>
              <w:top w:w="80" w:type="dxa"/>
              <w:start w:w="120" w:type="dxa"/>
              <w:bottom w:w="80" w:type="dxa"/>
              <w:end w:w="120" w:type="dxa"/>
            </w:tcMar>
          </w:tcPr>
          <w:p>
            <w:pPr>
              <w:spacing w:after="0" w:line="252" w:lineRule="auto"/>
            </w:pPr>
            <w:r>
              <w:rPr>
                <w:rFonts w:ascii="Arial" w:hAnsi="Arial"/>
                <w:sz w:val="17"/>
              </w:rPr>
              <w:t>Off-treatment follow-up</w:t>
            </w:r>
          </w:p>
        </w:tc>
        <w:tc>
          <w:tcPr>
            <w:tcW w:type="dxa" w:w="2400"/>
            <w:vAlign w:val="center"/>
            <w:tcMar>
              <w:top w:w="80" w:type="dxa"/>
              <w:start w:w="120" w:type="dxa"/>
              <w:bottom w:w="80" w:type="dxa"/>
              <w:end w:w="120" w:type="dxa"/>
            </w:tcMar>
          </w:tcPr>
          <w:p>
            <w:pPr>
              <w:spacing w:after="0" w:line="252" w:lineRule="auto"/>
            </w:pPr>
            <w:r>
              <w:rPr>
                <w:rFonts w:ascii="Arial" w:hAnsi="Arial"/>
                <w:sz w:val="17"/>
              </w:rPr>
              <w:t>Regained about two-thirds of prior loss in 1 y.</w:t>
            </w:r>
          </w:p>
        </w:tc>
        <w:tc>
          <w:tcPr>
            <w:tcW w:type="dxa" w:w="2510"/>
            <w:vAlign w:val="center"/>
            <w:tcMar>
              <w:top w:w="80" w:type="dxa"/>
              <w:start w:w="120" w:type="dxa"/>
              <w:bottom w:w="80" w:type="dxa"/>
              <w:end w:w="120" w:type="dxa"/>
            </w:tcMar>
          </w:tcPr>
          <w:p>
            <w:pPr>
              <w:spacing w:after="0" w:line="252" w:lineRule="auto"/>
            </w:pPr>
            <w:r>
              <w:rPr>
                <w:rFonts w:ascii="Arial" w:hAnsi="Arial"/>
                <w:sz w:val="17"/>
              </w:rPr>
              <w:t>Withdrawal, not a tapering comparison.</w:t>
            </w:r>
          </w:p>
        </w:tc>
        <w:tc>
          <w:tcPr>
            <w:tcW w:type="dxa" w:w="700"/>
            <w:vAlign w:val="center"/>
            <w:tcMar>
              <w:top w:w="80" w:type="dxa"/>
              <w:start w:w="120" w:type="dxa"/>
              <w:bottom w:w="80" w:type="dxa"/>
              <w:end w:w="120" w:type="dxa"/>
            </w:tcMar>
          </w:tcPr>
          <w:p>
            <w:pPr>
              <w:spacing w:after="0" w:line="252" w:lineRule="auto"/>
            </w:pPr>
            <w:r>
              <w:rPr>
                <w:rFonts w:ascii="Arial" w:hAnsi="Arial"/>
                <w:sz w:val="17"/>
              </w:rPr>
              <w:t>[9]</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STEP 4</w:t>
            </w:r>
          </w:p>
        </w:tc>
        <w:tc>
          <w:tcPr>
            <w:tcW w:type="dxa" w:w="2250"/>
            <w:vAlign w:val="center"/>
            <w:tcMar>
              <w:top w:w="80" w:type="dxa"/>
              <w:start w:w="120" w:type="dxa"/>
              <w:bottom w:w="80" w:type="dxa"/>
              <w:end w:w="120" w:type="dxa"/>
            </w:tcMar>
          </w:tcPr>
          <w:p>
            <w:pPr>
              <w:spacing w:after="0" w:line="252" w:lineRule="auto"/>
            </w:pPr>
            <w:r>
              <w:rPr>
                <w:rFonts w:ascii="Arial" w:hAnsi="Arial"/>
                <w:sz w:val="17"/>
              </w:rPr>
              <w:t>Randomized withdrawal</w:t>
            </w:r>
          </w:p>
        </w:tc>
        <w:tc>
          <w:tcPr>
            <w:tcW w:type="dxa" w:w="2400"/>
            <w:vAlign w:val="center"/>
            <w:tcMar>
              <w:top w:w="80" w:type="dxa"/>
              <w:start w:w="120" w:type="dxa"/>
              <w:bottom w:w="80" w:type="dxa"/>
              <w:end w:w="120" w:type="dxa"/>
            </w:tcMar>
          </w:tcPr>
          <w:p>
            <w:pPr>
              <w:spacing w:after="0" w:line="252" w:lineRule="auto"/>
            </w:pPr>
            <w:r>
              <w:rPr>
                <w:rFonts w:ascii="Arial" w:hAnsi="Arial"/>
                <w:sz w:val="17"/>
              </w:rPr>
              <w:t>Continue: -7.9%; switch to placebo: +6.9% from wk 20-68.</w:t>
            </w:r>
          </w:p>
        </w:tc>
        <w:tc>
          <w:tcPr>
            <w:tcW w:type="dxa" w:w="2510"/>
            <w:vAlign w:val="center"/>
            <w:tcMar>
              <w:top w:w="80" w:type="dxa"/>
              <w:start w:w="120" w:type="dxa"/>
              <w:bottom w:w="80" w:type="dxa"/>
              <w:end w:w="120" w:type="dxa"/>
            </w:tcMar>
          </w:tcPr>
          <w:p>
            <w:pPr>
              <w:spacing w:after="0" w:line="252" w:lineRule="auto"/>
            </w:pPr>
            <w:r>
              <w:rPr>
                <w:rFonts w:ascii="Arial" w:hAnsi="Arial"/>
                <w:sz w:val="17"/>
              </w:rPr>
              <w:t>Supports chronic-treatment framing.</w:t>
            </w:r>
          </w:p>
        </w:tc>
        <w:tc>
          <w:tcPr>
            <w:tcW w:type="dxa" w:w="700"/>
            <w:vAlign w:val="center"/>
            <w:tcMar>
              <w:top w:w="80" w:type="dxa"/>
              <w:start w:w="120" w:type="dxa"/>
              <w:bottom w:w="80" w:type="dxa"/>
              <w:end w:w="120" w:type="dxa"/>
            </w:tcMar>
          </w:tcPr>
          <w:p>
            <w:pPr>
              <w:spacing w:after="0" w:line="252" w:lineRule="auto"/>
            </w:pPr>
            <w:r>
              <w:rPr>
                <w:rFonts w:ascii="Arial" w:hAnsi="Arial"/>
                <w:sz w:val="17"/>
              </w:rPr>
              <w:t>[10]</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STEP 1 DXA</w:t>
            </w:r>
          </w:p>
        </w:tc>
        <w:tc>
          <w:tcPr>
            <w:tcW w:type="dxa" w:w="2250"/>
            <w:vAlign w:val="center"/>
            <w:tcMar>
              <w:top w:w="80" w:type="dxa"/>
              <w:start w:w="120" w:type="dxa"/>
              <w:bottom w:w="80" w:type="dxa"/>
              <w:end w:w="120" w:type="dxa"/>
            </w:tcMar>
          </w:tcPr>
          <w:p>
            <w:pPr>
              <w:spacing w:after="0" w:line="252" w:lineRule="auto"/>
            </w:pPr>
            <w:r>
              <w:rPr>
                <w:rFonts w:ascii="Arial" w:hAnsi="Arial"/>
                <w:sz w:val="17"/>
              </w:rPr>
              <w:t>Exploratory substudy</w:t>
            </w:r>
          </w:p>
        </w:tc>
        <w:tc>
          <w:tcPr>
            <w:tcW w:type="dxa" w:w="2400"/>
            <w:vAlign w:val="center"/>
            <w:tcMar>
              <w:top w:w="80" w:type="dxa"/>
              <w:start w:w="120" w:type="dxa"/>
              <w:bottom w:w="80" w:type="dxa"/>
              <w:end w:w="120" w:type="dxa"/>
            </w:tcMar>
          </w:tcPr>
          <w:p>
            <w:pPr>
              <w:spacing w:after="0" w:line="252" w:lineRule="auto"/>
            </w:pPr>
            <w:r>
              <w:rPr>
                <w:rFonts w:ascii="Arial" w:hAnsi="Arial"/>
                <w:sz w:val="17"/>
              </w:rPr>
              <w:t>Fat -19.3%; visceral fat -27.4%; lean -9.7%.</w:t>
            </w:r>
          </w:p>
        </w:tc>
        <w:tc>
          <w:tcPr>
            <w:tcW w:type="dxa" w:w="2510"/>
            <w:vAlign w:val="center"/>
            <w:tcMar>
              <w:top w:w="80" w:type="dxa"/>
              <w:start w:w="120" w:type="dxa"/>
              <w:bottom w:w="80" w:type="dxa"/>
              <w:end w:w="120" w:type="dxa"/>
            </w:tcMar>
          </w:tcPr>
          <w:p>
            <w:pPr>
              <w:spacing w:after="0" w:line="252" w:lineRule="auto"/>
            </w:pPr>
            <w:r>
              <w:rPr>
                <w:rFonts w:ascii="Arial" w:hAnsi="Arial"/>
                <w:sz w:val="17"/>
              </w:rPr>
              <w:t>Lean mass ≠ muscle; small substudy.</w:t>
            </w:r>
          </w:p>
        </w:tc>
        <w:tc>
          <w:tcPr>
            <w:tcW w:type="dxa" w:w="700"/>
            <w:vAlign w:val="center"/>
            <w:tcMar>
              <w:top w:w="80" w:type="dxa"/>
              <w:start w:w="120" w:type="dxa"/>
              <w:bottom w:w="80" w:type="dxa"/>
              <w:end w:w="120" w:type="dxa"/>
            </w:tcMar>
          </w:tcPr>
          <w:p>
            <w:pPr>
              <w:spacing w:after="0" w:line="252" w:lineRule="auto"/>
            </w:pPr>
            <w:r>
              <w:rPr>
                <w:rFonts w:ascii="Arial" w:hAnsi="Arial"/>
                <w:sz w:val="17"/>
              </w:rPr>
              <w:t>[11]</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SURMOUNT-1 DXA</w:t>
            </w:r>
          </w:p>
        </w:tc>
        <w:tc>
          <w:tcPr>
            <w:tcW w:type="dxa" w:w="2250"/>
            <w:vAlign w:val="center"/>
            <w:tcMar>
              <w:top w:w="80" w:type="dxa"/>
              <w:start w:w="120" w:type="dxa"/>
              <w:bottom w:w="80" w:type="dxa"/>
              <w:end w:w="120" w:type="dxa"/>
            </w:tcMar>
          </w:tcPr>
          <w:p>
            <w:pPr>
              <w:spacing w:after="0" w:line="252" w:lineRule="auto"/>
            </w:pPr>
            <w:r>
              <w:rPr>
                <w:rFonts w:ascii="Arial" w:hAnsi="Arial"/>
                <w:sz w:val="17"/>
              </w:rPr>
              <w:t>Substudy, 160 with paired scans</w:t>
            </w:r>
          </w:p>
        </w:tc>
        <w:tc>
          <w:tcPr>
            <w:tcW w:type="dxa" w:w="2400"/>
            <w:vAlign w:val="center"/>
            <w:tcMar>
              <w:top w:w="80" w:type="dxa"/>
              <w:start w:w="120" w:type="dxa"/>
              <w:bottom w:w="80" w:type="dxa"/>
              <w:end w:w="120" w:type="dxa"/>
            </w:tcMar>
          </w:tcPr>
          <w:p>
            <w:pPr>
              <w:spacing w:after="0" w:line="252" w:lineRule="auto"/>
            </w:pPr>
            <w:r>
              <w:rPr>
                <w:rFonts w:ascii="Arial" w:hAnsi="Arial"/>
                <w:sz w:val="17"/>
              </w:rPr>
              <w:t>75% fat / 25% lean contribution to loss.</w:t>
            </w:r>
          </w:p>
        </w:tc>
        <w:tc>
          <w:tcPr>
            <w:tcW w:type="dxa" w:w="2510"/>
            <w:vAlign w:val="center"/>
            <w:tcMar>
              <w:top w:w="80" w:type="dxa"/>
              <w:start w:w="120" w:type="dxa"/>
              <w:bottom w:w="80" w:type="dxa"/>
              <w:end w:w="120" w:type="dxa"/>
            </w:tcMar>
          </w:tcPr>
          <w:p>
            <w:pPr>
              <w:spacing w:after="0" w:line="252" w:lineRule="auto"/>
            </w:pPr>
            <w:r>
              <w:rPr>
                <w:rFonts w:ascii="Arial" w:hAnsi="Arial"/>
                <w:sz w:val="17"/>
              </w:rPr>
              <w:t>Substudy; DEXA limitations.</w:t>
            </w:r>
          </w:p>
        </w:tc>
        <w:tc>
          <w:tcPr>
            <w:tcW w:type="dxa" w:w="700"/>
            <w:vAlign w:val="center"/>
            <w:tcMar>
              <w:top w:w="80" w:type="dxa"/>
              <w:start w:w="120" w:type="dxa"/>
              <w:bottom w:w="80" w:type="dxa"/>
              <w:end w:w="120" w:type="dxa"/>
            </w:tcMar>
          </w:tcPr>
          <w:p>
            <w:pPr>
              <w:spacing w:after="0" w:line="252" w:lineRule="auto"/>
            </w:pPr>
            <w:r>
              <w:rPr>
                <w:rFonts w:ascii="Arial" w:hAnsi="Arial"/>
                <w:sz w:val="17"/>
              </w:rPr>
              <w:t>[12]</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GLP-1 body-comp meta-analysis</w:t>
            </w:r>
          </w:p>
        </w:tc>
        <w:tc>
          <w:tcPr>
            <w:tcW w:type="dxa" w:w="2250"/>
            <w:vAlign w:val="center"/>
            <w:tcMar>
              <w:top w:w="80" w:type="dxa"/>
              <w:start w:w="120" w:type="dxa"/>
              <w:bottom w:w="80" w:type="dxa"/>
              <w:end w:w="120" w:type="dxa"/>
            </w:tcMar>
          </w:tcPr>
          <w:p>
            <w:pPr>
              <w:spacing w:after="0" w:line="252" w:lineRule="auto"/>
            </w:pPr>
            <w:r>
              <w:rPr>
                <w:rFonts w:ascii="Arial" w:hAnsi="Arial"/>
                <w:sz w:val="17"/>
              </w:rPr>
              <w:t>22 RCTs, 2,258 participants</w:t>
            </w:r>
          </w:p>
        </w:tc>
        <w:tc>
          <w:tcPr>
            <w:tcW w:type="dxa" w:w="2400"/>
            <w:vAlign w:val="center"/>
            <w:tcMar>
              <w:top w:w="80" w:type="dxa"/>
              <w:start w:w="120" w:type="dxa"/>
              <w:bottom w:w="80" w:type="dxa"/>
              <w:end w:w="120" w:type="dxa"/>
            </w:tcMar>
          </w:tcPr>
          <w:p>
            <w:pPr>
              <w:spacing w:after="0" w:line="252" w:lineRule="auto"/>
            </w:pPr>
            <w:r>
              <w:rPr>
                <w:rFonts w:ascii="Arial" w:hAnsi="Arial"/>
                <w:sz w:val="17"/>
              </w:rPr>
              <w:t>Lean loss ~25% of total; relative lean mass unchanged.</w:t>
            </w:r>
          </w:p>
        </w:tc>
        <w:tc>
          <w:tcPr>
            <w:tcW w:type="dxa" w:w="2510"/>
            <w:vAlign w:val="center"/>
            <w:tcMar>
              <w:top w:w="80" w:type="dxa"/>
              <w:start w:w="120" w:type="dxa"/>
              <w:bottom w:w="80" w:type="dxa"/>
              <w:end w:w="120" w:type="dxa"/>
            </w:tcMar>
          </w:tcPr>
          <w:p>
            <w:pPr>
              <w:spacing w:after="0" w:line="252" w:lineRule="auto"/>
            </w:pPr>
            <w:r>
              <w:rPr>
                <w:rFonts w:ascii="Arial" w:hAnsi="Arial"/>
                <w:sz w:val="17"/>
              </w:rPr>
              <w:t>Heterogeneity.</w:t>
            </w:r>
          </w:p>
        </w:tc>
        <w:tc>
          <w:tcPr>
            <w:tcW w:type="dxa" w:w="700"/>
            <w:vAlign w:val="center"/>
            <w:tcMar>
              <w:top w:w="80" w:type="dxa"/>
              <w:start w:w="120" w:type="dxa"/>
              <w:bottom w:w="80" w:type="dxa"/>
              <w:end w:w="120" w:type="dxa"/>
            </w:tcMar>
          </w:tcPr>
          <w:p>
            <w:pPr>
              <w:spacing w:after="0" w:line="252" w:lineRule="auto"/>
            </w:pPr>
            <w:r>
              <w:rPr>
                <w:rFonts w:ascii="Arial" w:hAnsi="Arial"/>
                <w:sz w:val="17"/>
              </w:rPr>
              <w:t>[13]</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2026 muscle/function study</w:t>
            </w:r>
          </w:p>
        </w:tc>
        <w:tc>
          <w:tcPr>
            <w:tcW w:type="dxa" w:w="2250"/>
            <w:vAlign w:val="center"/>
            <w:tcMar>
              <w:top w:w="80" w:type="dxa"/>
              <w:start w:w="120" w:type="dxa"/>
              <w:bottom w:w="80" w:type="dxa"/>
              <w:end w:w="120" w:type="dxa"/>
            </w:tcMar>
          </w:tcPr>
          <w:p>
            <w:pPr>
              <w:spacing w:after="0" w:line="252" w:lineRule="auto"/>
            </w:pPr>
            <w:r>
              <w:rPr>
                <w:rFonts w:ascii="Arial" w:hAnsi="Arial"/>
                <w:sz w:val="17"/>
              </w:rPr>
              <w:t>Preclinical + proof-of-concept clinical</w:t>
            </w:r>
          </w:p>
        </w:tc>
        <w:tc>
          <w:tcPr>
            <w:tcW w:type="dxa" w:w="2400"/>
            <w:vAlign w:val="center"/>
            <w:tcMar>
              <w:top w:w="80" w:type="dxa"/>
              <w:start w:w="120" w:type="dxa"/>
              <w:bottom w:w="80" w:type="dxa"/>
              <w:end w:w="120" w:type="dxa"/>
            </w:tcMar>
          </w:tcPr>
          <w:p>
            <w:pPr>
              <w:spacing w:after="0" w:line="252" w:lineRule="auto"/>
            </w:pPr>
            <w:r>
              <w:rPr>
                <w:rFonts w:ascii="Arial" w:hAnsi="Arial"/>
                <w:sz w:val="17"/>
              </w:rPr>
              <w:t>Composition improved without lower strength.</w:t>
            </w:r>
          </w:p>
        </w:tc>
        <w:tc>
          <w:tcPr>
            <w:tcW w:type="dxa" w:w="2510"/>
            <w:vAlign w:val="center"/>
            <w:tcMar>
              <w:top w:w="80" w:type="dxa"/>
              <w:start w:w="120" w:type="dxa"/>
              <w:bottom w:w="80" w:type="dxa"/>
              <w:end w:w="120" w:type="dxa"/>
            </w:tcMar>
          </w:tcPr>
          <w:p>
            <w:pPr>
              <w:spacing w:after="0" w:line="252" w:lineRule="auto"/>
            </w:pPr>
            <w:r>
              <w:rPr>
                <w:rFonts w:ascii="Arial" w:hAnsi="Arial"/>
                <w:sz w:val="17"/>
              </w:rPr>
              <w:t>Early, limited clinical evidence.</w:t>
            </w:r>
          </w:p>
        </w:tc>
        <w:tc>
          <w:tcPr>
            <w:tcW w:type="dxa" w:w="700"/>
            <w:vAlign w:val="center"/>
            <w:tcMar>
              <w:top w:w="80" w:type="dxa"/>
              <w:start w:w="120" w:type="dxa"/>
              <w:bottom w:w="80" w:type="dxa"/>
              <w:end w:w="120" w:type="dxa"/>
            </w:tcMar>
          </w:tcPr>
          <w:p>
            <w:pPr>
              <w:spacing w:after="0" w:line="252" w:lineRule="auto"/>
            </w:pPr>
            <w:r>
              <w:rPr>
                <w:rFonts w:ascii="Arial" w:hAnsi="Arial"/>
                <w:sz w:val="17"/>
              </w:rPr>
              <w:t>[16]</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Joint nutrition advisory</w:t>
            </w:r>
          </w:p>
        </w:tc>
        <w:tc>
          <w:tcPr>
            <w:tcW w:type="dxa" w:w="2250"/>
            <w:vAlign w:val="center"/>
            <w:tcMar>
              <w:top w:w="80" w:type="dxa"/>
              <w:start w:w="120" w:type="dxa"/>
              <w:bottom w:w="80" w:type="dxa"/>
              <w:end w:w="120" w:type="dxa"/>
            </w:tcMar>
          </w:tcPr>
          <w:p>
            <w:pPr>
              <w:spacing w:after="0" w:line="252" w:lineRule="auto"/>
            </w:pPr>
            <w:r>
              <w:rPr>
                <w:rFonts w:ascii="Arial" w:hAnsi="Arial"/>
                <w:sz w:val="17"/>
              </w:rPr>
              <w:t>Multi-society consensus + evidence review</w:t>
            </w:r>
          </w:p>
        </w:tc>
        <w:tc>
          <w:tcPr>
            <w:tcW w:type="dxa" w:w="2400"/>
            <w:vAlign w:val="center"/>
            <w:tcMar>
              <w:top w:w="80" w:type="dxa"/>
              <w:start w:w="120" w:type="dxa"/>
              <w:bottom w:w="80" w:type="dxa"/>
              <w:end w:w="120" w:type="dxa"/>
            </w:tcMar>
          </w:tcPr>
          <w:p>
            <w:pPr>
              <w:spacing w:after="0" w:line="252" w:lineRule="auto"/>
            </w:pPr>
            <w:r>
              <w:rPr>
                <w:rFonts w:ascii="Arial" w:hAnsi="Arial"/>
                <w:sz w:val="17"/>
              </w:rPr>
              <w:t>Protein, resistance, GI and micronutrient priorities.</w:t>
            </w:r>
          </w:p>
        </w:tc>
        <w:tc>
          <w:tcPr>
            <w:tcW w:type="dxa" w:w="2510"/>
            <w:vAlign w:val="center"/>
            <w:tcMar>
              <w:top w:w="80" w:type="dxa"/>
              <w:start w:w="120" w:type="dxa"/>
              <w:bottom w:w="80" w:type="dxa"/>
              <w:end w:w="120" w:type="dxa"/>
            </w:tcMar>
          </w:tcPr>
          <w:p>
            <w:pPr>
              <w:spacing w:after="0" w:line="252" w:lineRule="auto"/>
            </w:pPr>
            <w:r>
              <w:rPr>
                <w:rFonts w:ascii="Arial" w:hAnsi="Arial"/>
                <w:sz w:val="17"/>
              </w:rPr>
              <w:t>Guidance, not product trial.</w:t>
            </w:r>
          </w:p>
        </w:tc>
        <w:tc>
          <w:tcPr>
            <w:tcW w:type="dxa" w:w="700"/>
            <w:vAlign w:val="center"/>
            <w:tcMar>
              <w:top w:w="80" w:type="dxa"/>
              <w:start w:w="120" w:type="dxa"/>
              <w:bottom w:w="80" w:type="dxa"/>
              <w:end w:w="120" w:type="dxa"/>
            </w:tcMar>
          </w:tcPr>
          <w:p>
            <w:pPr>
              <w:spacing w:after="0" w:line="252" w:lineRule="auto"/>
            </w:pPr>
            <w:r>
              <w:rPr>
                <w:rFonts w:ascii="Arial" w:hAnsi="Arial"/>
                <w:sz w:val="17"/>
              </w:rPr>
              <w:t>[17]</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Semaglutide appetite study</w:t>
            </w:r>
          </w:p>
        </w:tc>
        <w:tc>
          <w:tcPr>
            <w:tcW w:type="dxa" w:w="2250"/>
            <w:vAlign w:val="center"/>
            <w:tcMar>
              <w:top w:w="80" w:type="dxa"/>
              <w:start w:w="120" w:type="dxa"/>
              <w:bottom w:w="80" w:type="dxa"/>
              <w:end w:w="120" w:type="dxa"/>
            </w:tcMar>
          </w:tcPr>
          <w:p>
            <w:pPr>
              <w:spacing w:after="0" w:line="252" w:lineRule="auto"/>
            </w:pPr>
            <w:r>
              <w:rPr>
                <w:rFonts w:ascii="Arial" w:hAnsi="Arial"/>
                <w:sz w:val="17"/>
              </w:rPr>
              <w:t>Crossover, 30 adults, 12 wk</w:t>
            </w:r>
          </w:p>
        </w:tc>
        <w:tc>
          <w:tcPr>
            <w:tcW w:type="dxa" w:w="2400"/>
            <w:vAlign w:val="center"/>
            <w:tcMar>
              <w:top w:w="80" w:type="dxa"/>
              <w:start w:w="120" w:type="dxa"/>
              <w:bottom w:w="80" w:type="dxa"/>
              <w:end w:w="120" w:type="dxa"/>
            </w:tcMar>
          </w:tcPr>
          <w:p>
            <w:pPr>
              <w:spacing w:after="0" w:line="252" w:lineRule="auto"/>
            </w:pPr>
            <w:r>
              <w:rPr>
                <w:rFonts w:ascii="Arial" w:hAnsi="Arial"/>
                <w:sz w:val="17"/>
              </w:rPr>
              <w:t>24% lower ad libitum daily intake.</w:t>
            </w:r>
          </w:p>
        </w:tc>
        <w:tc>
          <w:tcPr>
            <w:tcW w:type="dxa" w:w="2510"/>
            <w:vAlign w:val="center"/>
            <w:tcMar>
              <w:top w:w="80" w:type="dxa"/>
              <w:start w:w="120" w:type="dxa"/>
              <w:bottom w:w="80" w:type="dxa"/>
              <w:end w:w="120" w:type="dxa"/>
            </w:tcMar>
          </w:tcPr>
          <w:p>
            <w:pPr>
              <w:spacing w:after="0" w:line="252" w:lineRule="auto"/>
            </w:pPr>
            <w:r>
              <w:rPr>
                <w:rFonts w:ascii="Arial" w:hAnsi="Arial"/>
                <w:sz w:val="17"/>
              </w:rPr>
              <w:t>Small, short, 1.0 mg.</w:t>
            </w:r>
          </w:p>
        </w:tc>
        <w:tc>
          <w:tcPr>
            <w:tcW w:type="dxa" w:w="700"/>
            <w:vAlign w:val="center"/>
            <w:tcMar>
              <w:top w:w="80" w:type="dxa"/>
              <w:start w:w="120" w:type="dxa"/>
              <w:bottom w:w="80" w:type="dxa"/>
              <w:end w:w="120" w:type="dxa"/>
            </w:tcMar>
          </w:tcPr>
          <w:p>
            <w:pPr>
              <w:spacing w:after="0" w:line="252" w:lineRule="auto"/>
            </w:pPr>
            <w:r>
              <w:rPr>
                <w:rFonts w:ascii="Arial" w:hAnsi="Arial"/>
                <w:sz w:val="17"/>
              </w:rPr>
              <w:t>[19]</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Exercise overview</w:t>
            </w:r>
          </w:p>
        </w:tc>
        <w:tc>
          <w:tcPr>
            <w:tcW w:type="dxa" w:w="2250"/>
            <w:vAlign w:val="center"/>
            <w:tcMar>
              <w:top w:w="80" w:type="dxa"/>
              <w:start w:w="120" w:type="dxa"/>
              <w:bottom w:w="80" w:type="dxa"/>
              <w:end w:w="120" w:type="dxa"/>
            </w:tcMar>
          </w:tcPr>
          <w:p>
            <w:pPr>
              <w:spacing w:after="0" w:line="252" w:lineRule="auto"/>
            </w:pPr>
            <w:r>
              <w:rPr>
                <w:rFonts w:ascii="Arial" w:hAnsi="Arial"/>
                <w:sz w:val="17"/>
              </w:rPr>
              <w:t>12 systematic reviews, 149 studies</w:t>
            </w:r>
          </w:p>
        </w:tc>
        <w:tc>
          <w:tcPr>
            <w:tcW w:type="dxa" w:w="2400"/>
            <w:vAlign w:val="center"/>
            <w:tcMar>
              <w:top w:w="80" w:type="dxa"/>
              <w:start w:w="120" w:type="dxa"/>
              <w:bottom w:w="80" w:type="dxa"/>
              <w:end w:w="120" w:type="dxa"/>
            </w:tcMar>
          </w:tcPr>
          <w:p>
            <w:pPr>
              <w:spacing w:after="0" w:line="252" w:lineRule="auto"/>
            </w:pPr>
            <w:r>
              <w:rPr>
                <w:rFonts w:ascii="Arial" w:hAnsi="Arial"/>
                <w:sz w:val="17"/>
              </w:rPr>
              <w:t>RT attenuated lean-mass loss by ~0.8 kg.</w:t>
            </w:r>
          </w:p>
        </w:tc>
        <w:tc>
          <w:tcPr>
            <w:tcW w:type="dxa" w:w="2510"/>
            <w:vAlign w:val="center"/>
            <w:tcMar>
              <w:top w:w="80" w:type="dxa"/>
              <w:start w:w="120" w:type="dxa"/>
              <w:bottom w:w="80" w:type="dxa"/>
              <w:end w:w="120" w:type="dxa"/>
            </w:tcMar>
          </w:tcPr>
          <w:p>
            <w:pPr>
              <w:spacing w:after="0" w:line="252" w:lineRule="auto"/>
            </w:pPr>
            <w:r>
              <w:rPr>
                <w:rFonts w:ascii="Arial" w:hAnsi="Arial"/>
                <w:sz w:val="17"/>
              </w:rPr>
              <w:t>General obesity treatment.</w:t>
            </w:r>
          </w:p>
        </w:tc>
        <w:tc>
          <w:tcPr>
            <w:tcW w:type="dxa" w:w="700"/>
            <w:vAlign w:val="center"/>
            <w:tcMar>
              <w:top w:w="80" w:type="dxa"/>
              <w:start w:w="120" w:type="dxa"/>
              <w:bottom w:w="80" w:type="dxa"/>
              <w:end w:w="120" w:type="dxa"/>
            </w:tcMar>
          </w:tcPr>
          <w:p>
            <w:pPr>
              <w:spacing w:after="0" w:line="252" w:lineRule="auto"/>
            </w:pPr>
            <w:r>
              <w:rPr>
                <w:rFonts w:ascii="Arial" w:hAnsi="Arial"/>
                <w:sz w:val="17"/>
              </w:rPr>
              <w:t>[21]</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Older-adult exercise RCT</w:t>
            </w:r>
          </w:p>
        </w:tc>
        <w:tc>
          <w:tcPr>
            <w:tcW w:type="dxa" w:w="2250"/>
            <w:vAlign w:val="center"/>
            <w:tcMar>
              <w:top w:w="80" w:type="dxa"/>
              <w:start w:w="120" w:type="dxa"/>
              <w:bottom w:w="80" w:type="dxa"/>
              <w:end w:w="120" w:type="dxa"/>
            </w:tcMar>
          </w:tcPr>
          <w:p>
            <w:pPr>
              <w:spacing w:after="0" w:line="252" w:lineRule="auto"/>
            </w:pPr>
            <w:r>
              <w:rPr>
                <w:rFonts w:ascii="Arial" w:hAnsi="Arial"/>
                <w:sz w:val="17"/>
              </w:rPr>
              <w:t>160 adults, ~10% weight loss</w:t>
            </w:r>
          </w:p>
        </w:tc>
        <w:tc>
          <w:tcPr>
            <w:tcW w:type="dxa" w:w="2400"/>
            <w:vAlign w:val="center"/>
            <w:tcMar>
              <w:top w:w="80" w:type="dxa"/>
              <w:start w:w="120" w:type="dxa"/>
              <w:bottom w:w="80" w:type="dxa"/>
              <w:end w:w="120" w:type="dxa"/>
            </w:tcMar>
          </w:tcPr>
          <w:p>
            <w:pPr>
              <w:spacing w:after="0" w:line="252" w:lineRule="auto"/>
            </w:pPr>
            <w:r>
              <w:rPr>
                <w:rFonts w:ascii="Arial" w:hAnsi="Arial"/>
                <w:sz w:val="17"/>
              </w:rPr>
              <w:t>Resistance/combined protected hip BMD vs aerobic.</w:t>
            </w:r>
          </w:p>
        </w:tc>
        <w:tc>
          <w:tcPr>
            <w:tcW w:type="dxa" w:w="2510"/>
            <w:vAlign w:val="center"/>
            <w:tcMar>
              <w:top w:w="80" w:type="dxa"/>
              <w:start w:w="120" w:type="dxa"/>
              <w:bottom w:w="80" w:type="dxa"/>
              <w:end w:w="120" w:type="dxa"/>
            </w:tcMar>
          </w:tcPr>
          <w:p>
            <w:pPr>
              <w:spacing w:after="0" w:line="252" w:lineRule="auto"/>
            </w:pPr>
            <w:r>
              <w:rPr>
                <w:rFonts w:ascii="Arial" w:hAnsi="Arial"/>
                <w:sz w:val="17"/>
              </w:rPr>
              <w:t>Older population.</w:t>
            </w:r>
          </w:p>
        </w:tc>
        <w:tc>
          <w:tcPr>
            <w:tcW w:type="dxa" w:w="700"/>
            <w:vAlign w:val="center"/>
            <w:tcMar>
              <w:top w:w="80" w:type="dxa"/>
              <w:start w:w="120" w:type="dxa"/>
              <w:bottom w:w="80" w:type="dxa"/>
              <w:end w:w="120" w:type="dxa"/>
            </w:tcMar>
          </w:tcPr>
          <w:p>
            <w:pPr>
              <w:spacing w:after="0" w:line="252" w:lineRule="auto"/>
            </w:pPr>
            <w:r>
              <w:rPr>
                <w:rFonts w:ascii="Arial" w:hAnsi="Arial"/>
                <w:sz w:val="17"/>
              </w:rPr>
              <w:t>[23]</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Protein + RT meta-analysis</w:t>
            </w:r>
          </w:p>
        </w:tc>
        <w:tc>
          <w:tcPr>
            <w:tcW w:type="dxa" w:w="2250"/>
            <w:vAlign w:val="center"/>
            <w:tcMar>
              <w:top w:w="80" w:type="dxa"/>
              <w:start w:w="120" w:type="dxa"/>
              <w:bottom w:w="80" w:type="dxa"/>
              <w:end w:w="120" w:type="dxa"/>
            </w:tcMar>
          </w:tcPr>
          <w:p>
            <w:pPr>
              <w:spacing w:after="0" w:line="252" w:lineRule="auto"/>
            </w:pPr>
            <w:r>
              <w:rPr>
                <w:rFonts w:ascii="Arial" w:hAnsi="Arial"/>
                <w:sz w:val="17"/>
              </w:rPr>
              <w:t>74 RCTs</w:t>
            </w:r>
          </w:p>
        </w:tc>
        <w:tc>
          <w:tcPr>
            <w:tcW w:type="dxa" w:w="2400"/>
            <w:vAlign w:val="center"/>
            <w:tcMar>
              <w:top w:w="80" w:type="dxa"/>
              <w:start w:w="120" w:type="dxa"/>
              <w:bottom w:w="80" w:type="dxa"/>
              <w:end w:w="120" w:type="dxa"/>
            </w:tcMar>
          </w:tcPr>
          <w:p>
            <w:pPr>
              <w:spacing w:after="0" w:line="252" w:lineRule="auto"/>
            </w:pPr>
            <w:r>
              <w:rPr>
                <w:rFonts w:ascii="Arial" w:hAnsi="Arial"/>
                <w:sz w:val="17"/>
              </w:rPr>
              <w:t>Small additional LBM/strength gains; dose/age effects.</w:t>
            </w:r>
          </w:p>
        </w:tc>
        <w:tc>
          <w:tcPr>
            <w:tcW w:type="dxa" w:w="2510"/>
            <w:vAlign w:val="center"/>
            <w:tcMar>
              <w:top w:w="80" w:type="dxa"/>
              <w:start w:w="120" w:type="dxa"/>
              <w:bottom w:w="80" w:type="dxa"/>
              <w:end w:w="120" w:type="dxa"/>
            </w:tcMar>
          </w:tcPr>
          <w:p>
            <w:pPr>
              <w:spacing w:after="0" w:line="252" w:lineRule="auto"/>
            </w:pPr>
            <w:r>
              <w:rPr>
                <w:rFonts w:ascii="Arial" w:hAnsi="Arial"/>
                <w:sz w:val="17"/>
              </w:rPr>
              <w:t>Healthy adults; heterogeneity.</w:t>
            </w:r>
          </w:p>
        </w:tc>
        <w:tc>
          <w:tcPr>
            <w:tcW w:type="dxa" w:w="700"/>
            <w:vAlign w:val="center"/>
            <w:tcMar>
              <w:top w:w="80" w:type="dxa"/>
              <w:start w:w="120" w:type="dxa"/>
              <w:bottom w:w="80" w:type="dxa"/>
              <w:end w:w="120" w:type="dxa"/>
            </w:tcMar>
          </w:tcPr>
          <w:p>
            <w:pPr>
              <w:spacing w:after="0" w:line="252" w:lineRule="auto"/>
            </w:pPr>
            <w:r>
              <w:rPr>
                <w:rFonts w:ascii="Arial" w:hAnsi="Arial"/>
                <w:sz w:val="17"/>
              </w:rPr>
              <w:t>[24]</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Creatine meta-analysis</w:t>
            </w:r>
          </w:p>
        </w:tc>
        <w:tc>
          <w:tcPr>
            <w:tcW w:type="dxa" w:w="2250"/>
            <w:vAlign w:val="center"/>
            <w:tcMar>
              <w:top w:w="80" w:type="dxa"/>
              <w:start w:w="120" w:type="dxa"/>
              <w:bottom w:w="80" w:type="dxa"/>
              <w:end w:w="120" w:type="dxa"/>
            </w:tcMar>
          </w:tcPr>
          <w:p>
            <w:pPr>
              <w:spacing w:after="0" w:line="252" w:lineRule="auto"/>
            </w:pPr>
            <w:r>
              <w:rPr>
                <w:rFonts w:ascii="Arial" w:hAnsi="Arial"/>
                <w:sz w:val="17"/>
              </w:rPr>
              <w:t>12 studies</w:t>
            </w:r>
          </w:p>
        </w:tc>
        <w:tc>
          <w:tcPr>
            <w:tcW w:type="dxa" w:w="2400"/>
            <w:vAlign w:val="center"/>
            <w:tcMar>
              <w:top w:w="80" w:type="dxa"/>
              <w:start w:w="120" w:type="dxa"/>
              <w:bottom w:w="80" w:type="dxa"/>
              <w:end w:w="120" w:type="dxa"/>
            </w:tcMar>
          </w:tcPr>
          <w:p>
            <w:pPr>
              <w:spacing w:after="0" w:line="252" w:lineRule="auto"/>
            </w:pPr>
            <w:r>
              <w:rPr>
                <w:rFonts w:ascii="Arial" w:hAnsi="Arial"/>
                <w:sz w:val="17"/>
              </w:rPr>
              <w:t>+1.14 kg DEXA LBM with RT.</w:t>
            </w:r>
          </w:p>
        </w:tc>
        <w:tc>
          <w:tcPr>
            <w:tcW w:type="dxa" w:w="2510"/>
            <w:vAlign w:val="center"/>
            <w:tcMar>
              <w:top w:w="80" w:type="dxa"/>
              <w:start w:w="120" w:type="dxa"/>
              <w:bottom w:w="80" w:type="dxa"/>
              <w:end w:w="120" w:type="dxa"/>
            </w:tcMar>
          </w:tcPr>
          <w:p>
            <w:pPr>
              <w:spacing w:after="0" w:line="252" w:lineRule="auto"/>
            </w:pPr>
            <w:r>
              <w:rPr>
                <w:rFonts w:ascii="Arial" w:hAnsi="Arial"/>
                <w:sz w:val="17"/>
              </w:rPr>
              <w:t>Water confounding; not GLP-1-specific.</w:t>
            </w:r>
          </w:p>
        </w:tc>
        <w:tc>
          <w:tcPr>
            <w:tcW w:type="dxa" w:w="700"/>
            <w:vAlign w:val="center"/>
            <w:tcMar>
              <w:top w:w="80" w:type="dxa"/>
              <w:start w:w="120" w:type="dxa"/>
              <w:bottom w:w="80" w:type="dxa"/>
              <w:end w:w="120" w:type="dxa"/>
            </w:tcMar>
          </w:tcPr>
          <w:p>
            <w:pPr>
              <w:spacing w:after="0" w:line="252" w:lineRule="auto"/>
            </w:pPr>
            <w:r>
              <w:rPr>
                <w:rFonts w:ascii="Arial" w:hAnsi="Arial"/>
                <w:sz w:val="17"/>
              </w:rPr>
              <w:t>[29]</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Collagen meta-analysis</w:t>
            </w:r>
          </w:p>
        </w:tc>
        <w:tc>
          <w:tcPr>
            <w:tcW w:type="dxa" w:w="2250"/>
            <w:vAlign w:val="center"/>
            <w:tcMar>
              <w:top w:w="80" w:type="dxa"/>
              <w:start w:w="120" w:type="dxa"/>
              <w:bottom w:w="80" w:type="dxa"/>
              <w:end w:w="120" w:type="dxa"/>
            </w:tcMar>
          </w:tcPr>
          <w:p>
            <w:pPr>
              <w:spacing w:after="0" w:line="252" w:lineRule="auto"/>
            </w:pPr>
            <w:r>
              <w:rPr>
                <w:rFonts w:ascii="Arial" w:hAnsi="Arial"/>
                <w:sz w:val="17"/>
              </w:rPr>
              <w:t>23 RCTs, 1,474 participants</w:t>
            </w:r>
          </w:p>
        </w:tc>
        <w:tc>
          <w:tcPr>
            <w:tcW w:type="dxa" w:w="2400"/>
            <w:vAlign w:val="center"/>
            <w:tcMar>
              <w:top w:w="80" w:type="dxa"/>
              <w:start w:w="120" w:type="dxa"/>
              <w:bottom w:w="80" w:type="dxa"/>
              <w:end w:w="120" w:type="dxa"/>
            </w:tcMar>
          </w:tcPr>
          <w:p>
            <w:pPr>
              <w:spacing w:after="0" w:line="252" w:lineRule="auto"/>
            </w:pPr>
            <w:r>
              <w:rPr>
                <w:rFonts w:ascii="Arial" w:hAnsi="Arial"/>
                <w:sz w:val="17"/>
              </w:rPr>
              <w:t>No benefit in high-quality/non-industry subsets.</w:t>
            </w:r>
          </w:p>
        </w:tc>
        <w:tc>
          <w:tcPr>
            <w:tcW w:type="dxa" w:w="2510"/>
            <w:vAlign w:val="center"/>
            <w:tcMar>
              <w:top w:w="80" w:type="dxa"/>
              <w:start w:w="120" w:type="dxa"/>
              <w:bottom w:w="80" w:type="dxa"/>
              <w:end w:w="120" w:type="dxa"/>
            </w:tcMar>
          </w:tcPr>
          <w:p>
            <w:pPr>
              <w:spacing w:after="0" w:line="252" w:lineRule="auto"/>
            </w:pPr>
            <w:r>
              <w:rPr>
                <w:rFonts w:ascii="Arial" w:hAnsi="Arial"/>
                <w:sz w:val="17"/>
              </w:rPr>
              <w:t>Skin aging, not excess-skin trial.</w:t>
            </w:r>
          </w:p>
        </w:tc>
        <w:tc>
          <w:tcPr>
            <w:tcW w:type="dxa" w:w="700"/>
            <w:vAlign w:val="center"/>
            <w:tcMar>
              <w:top w:w="80" w:type="dxa"/>
              <w:start w:w="120" w:type="dxa"/>
              <w:bottom w:w="80" w:type="dxa"/>
              <w:end w:w="120" w:type="dxa"/>
            </w:tcMar>
          </w:tcPr>
          <w:p>
            <w:pPr>
              <w:spacing w:after="0" w:line="252" w:lineRule="auto"/>
            </w:pPr>
            <w:r>
              <w:rPr>
                <w:rFonts w:ascii="Arial" w:hAnsi="Arial"/>
                <w:sz w:val="17"/>
              </w:rPr>
              <w:t>[32]</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FDA Wegovy label</w:t>
            </w:r>
          </w:p>
        </w:tc>
        <w:tc>
          <w:tcPr>
            <w:tcW w:type="dxa" w:w="2250"/>
            <w:vAlign w:val="center"/>
            <w:tcMar>
              <w:top w:w="80" w:type="dxa"/>
              <w:start w:w="120" w:type="dxa"/>
              <w:bottom w:w="80" w:type="dxa"/>
              <w:end w:w="120" w:type="dxa"/>
            </w:tcMar>
          </w:tcPr>
          <w:p>
            <w:pPr>
              <w:spacing w:after="0" w:line="252" w:lineRule="auto"/>
            </w:pPr>
            <w:r>
              <w:rPr>
                <w:rFonts w:ascii="Arial" w:hAnsi="Arial"/>
                <w:sz w:val="17"/>
              </w:rPr>
              <w:t>Pooled adult obesity trials</w:t>
            </w:r>
          </w:p>
        </w:tc>
        <w:tc>
          <w:tcPr>
            <w:tcW w:type="dxa" w:w="2400"/>
            <w:vAlign w:val="center"/>
            <w:tcMar>
              <w:top w:w="80" w:type="dxa"/>
              <w:start w:w="120" w:type="dxa"/>
              <w:bottom w:w="80" w:type="dxa"/>
              <w:end w:w="120" w:type="dxa"/>
            </w:tcMar>
          </w:tcPr>
          <w:p>
            <w:pPr>
              <w:spacing w:after="0" w:line="252" w:lineRule="auto"/>
            </w:pPr>
            <w:r>
              <w:rPr>
                <w:rFonts w:ascii="Arial" w:hAnsi="Arial"/>
                <w:sz w:val="17"/>
              </w:rPr>
              <w:t>Quantifies GI and hair adverse reactions.</w:t>
            </w:r>
          </w:p>
        </w:tc>
        <w:tc>
          <w:tcPr>
            <w:tcW w:type="dxa" w:w="2510"/>
            <w:vAlign w:val="center"/>
            <w:tcMar>
              <w:top w:w="80" w:type="dxa"/>
              <w:start w:w="120" w:type="dxa"/>
              <w:bottom w:w="80" w:type="dxa"/>
              <w:end w:w="120" w:type="dxa"/>
            </w:tcMar>
          </w:tcPr>
          <w:p>
            <w:pPr>
              <w:spacing w:after="0" w:line="252" w:lineRule="auto"/>
            </w:pPr>
            <w:r>
              <w:rPr>
                <w:rFonts w:ascii="Arial" w:hAnsi="Arial"/>
                <w:sz w:val="17"/>
              </w:rPr>
              <w:t>Use current version and exact indication.</w:t>
            </w:r>
          </w:p>
        </w:tc>
        <w:tc>
          <w:tcPr>
            <w:tcW w:type="dxa" w:w="700"/>
            <w:vAlign w:val="center"/>
            <w:tcMar>
              <w:top w:w="80" w:type="dxa"/>
              <w:start w:w="120" w:type="dxa"/>
              <w:bottom w:w="80" w:type="dxa"/>
              <w:end w:w="120" w:type="dxa"/>
            </w:tcMar>
          </w:tcPr>
          <w:p>
            <w:pPr>
              <w:spacing w:after="0" w:line="252" w:lineRule="auto"/>
            </w:pPr>
            <w:r>
              <w:rPr>
                <w:rFonts w:ascii="Arial" w:hAnsi="Arial"/>
                <w:sz w:val="17"/>
              </w:rPr>
              <w:t>[38]</w:t>
            </w:r>
          </w:p>
        </w:tc>
      </w:tr>
      <w:tr>
        <w:tc>
          <w:tcPr>
            <w:tcW w:type="dxa" w:w="1500"/>
            <w:vAlign w:val="center"/>
            <w:tcMar>
              <w:top w:w="80" w:type="dxa"/>
              <w:start w:w="120" w:type="dxa"/>
              <w:bottom w:w="80" w:type="dxa"/>
              <w:end w:w="120" w:type="dxa"/>
            </w:tcMar>
          </w:tcPr>
          <w:p>
            <w:pPr>
              <w:spacing w:after="0" w:line="252" w:lineRule="auto"/>
            </w:pPr>
            <w:r>
              <w:rPr>
                <w:rFonts w:ascii="Arial" w:hAnsi="Arial"/>
                <w:sz w:val="17"/>
              </w:rPr>
              <w:t>FDA Zepbound label</w:t>
            </w:r>
          </w:p>
        </w:tc>
        <w:tc>
          <w:tcPr>
            <w:tcW w:type="dxa" w:w="2250"/>
            <w:vAlign w:val="center"/>
            <w:tcMar>
              <w:top w:w="80" w:type="dxa"/>
              <w:start w:w="120" w:type="dxa"/>
              <w:bottom w:w="80" w:type="dxa"/>
              <w:end w:w="120" w:type="dxa"/>
            </w:tcMar>
          </w:tcPr>
          <w:p>
            <w:pPr>
              <w:spacing w:after="0" w:line="252" w:lineRule="auto"/>
            </w:pPr>
            <w:r>
              <w:rPr>
                <w:rFonts w:ascii="Arial" w:hAnsi="Arial"/>
                <w:sz w:val="17"/>
              </w:rPr>
              <w:t>Pooled adult obesity trials</w:t>
            </w:r>
          </w:p>
        </w:tc>
        <w:tc>
          <w:tcPr>
            <w:tcW w:type="dxa" w:w="2400"/>
            <w:vAlign w:val="center"/>
            <w:tcMar>
              <w:top w:w="80" w:type="dxa"/>
              <w:start w:w="120" w:type="dxa"/>
              <w:bottom w:w="80" w:type="dxa"/>
              <w:end w:w="120" w:type="dxa"/>
            </w:tcMar>
          </w:tcPr>
          <w:p>
            <w:pPr>
              <w:spacing w:after="0" w:line="252" w:lineRule="auto"/>
            </w:pPr>
            <w:r>
              <w:rPr>
                <w:rFonts w:ascii="Arial" w:hAnsi="Arial"/>
                <w:sz w:val="17"/>
              </w:rPr>
              <w:t>GI 56% vs 30%; hair 4-5% vs 1%.</w:t>
            </w:r>
          </w:p>
        </w:tc>
        <w:tc>
          <w:tcPr>
            <w:tcW w:type="dxa" w:w="2510"/>
            <w:vAlign w:val="center"/>
            <w:tcMar>
              <w:top w:w="80" w:type="dxa"/>
              <w:start w:w="120" w:type="dxa"/>
              <w:bottom w:w="80" w:type="dxa"/>
              <w:end w:w="120" w:type="dxa"/>
            </w:tcMar>
          </w:tcPr>
          <w:p>
            <w:pPr>
              <w:spacing w:after="0" w:line="252" w:lineRule="auto"/>
            </w:pPr>
            <w:r>
              <w:rPr>
                <w:rFonts w:ascii="Arial" w:hAnsi="Arial"/>
                <w:sz w:val="17"/>
              </w:rPr>
              <w:t>Dose and sex context.</w:t>
            </w:r>
          </w:p>
        </w:tc>
        <w:tc>
          <w:tcPr>
            <w:tcW w:type="dxa" w:w="700"/>
            <w:vAlign w:val="center"/>
            <w:tcMar>
              <w:top w:w="80" w:type="dxa"/>
              <w:start w:w="120" w:type="dxa"/>
              <w:bottom w:w="80" w:type="dxa"/>
              <w:end w:w="120" w:type="dxa"/>
            </w:tcMar>
          </w:tcPr>
          <w:p>
            <w:pPr>
              <w:spacing w:after="0" w:line="252" w:lineRule="auto"/>
            </w:pPr>
            <w:r>
              <w:rPr>
                <w:rFonts w:ascii="Arial" w:hAnsi="Arial"/>
                <w:sz w:val="17"/>
              </w:rPr>
              <w:t>[39]</w:t>
            </w:r>
          </w:p>
        </w:tc>
      </w:tr>
    </w:tbl>
    <w:p>
      <w:pPr>
        <w:spacing w:after="0"/>
      </w:pPr>
    </w:p>
    <w:p>
      <w:pPr>
        <w:pStyle w:val="Heading1"/>
      </w:pPr>
      <w:r>
        <w:t>Appendix B. Source library</w:t>
      </w:r>
    </w:p>
    <w:p>
      <w:r>
        <w:rPr>
          <w:i w:val="0"/>
        </w:rPr>
        <w:t>Primary trials, systematic reviews, official labels and public datasets are prioritized. News and professional-society articles are used mainly to document public language and skin concerns, not to establish drug efficacy.</w:t>
      </w:r>
    </w:p>
    <w:p>
      <w:pPr>
        <w:pStyle w:val="SourceNote"/>
        <w:ind w:left="259" w:hanging="259"/>
      </w:pPr>
      <w:r>
        <w:t xml:space="preserve">1. </w:t>
      </w:r>
      <w:hyperlink r:id="rId9">
        <w:r>
          <w:rPr>
            <w:color w:val="1155CC"/>
            <w:u w:val="single"/>
          </w:rPr>
          <w:t>Wilding et al. Once-Weekly Semaglutide in Adults with Overweight or Obesity. NEJM (STEP 1), 2021.</w:t>
        </w:r>
      </w:hyperlink>
    </w:p>
    <w:p>
      <w:pPr>
        <w:pStyle w:val="SourceNote"/>
        <w:ind w:left="259" w:hanging="259"/>
      </w:pPr>
      <w:r>
        <w:t xml:space="preserve">2. </w:t>
      </w:r>
      <w:hyperlink r:id="rId10">
        <w:r>
          <w:rPr>
            <w:color w:val="1155CC"/>
            <w:u w:val="single"/>
          </w:rPr>
          <w:t>Jastreboff et al. Tirzepatide Once Weekly for the Treatment of Obesity. NEJM (SURMOUNT-1), 2022.</w:t>
        </w:r>
      </w:hyperlink>
    </w:p>
    <w:p>
      <w:pPr>
        <w:pStyle w:val="SourceNote"/>
        <w:ind w:left="259" w:hanging="259"/>
      </w:pPr>
      <w:r>
        <w:t xml:space="preserve">3. </w:t>
      </w:r>
      <w:hyperlink r:id="rId11">
        <w:r>
          <w:rPr>
            <w:color w:val="1155CC"/>
            <w:u w:val="single"/>
          </w:rPr>
          <w:t>Lincoff et al. Semaglutide and Cardiovascular Outcomes in Obesity without Diabetes. NEJM (SELECT), 2023.</w:t>
        </w:r>
      </w:hyperlink>
    </w:p>
    <w:p>
      <w:pPr>
        <w:pStyle w:val="SourceNote"/>
        <w:ind w:left="259" w:hanging="259"/>
      </w:pPr>
      <w:r>
        <w:t xml:space="preserve">4. </w:t>
      </w:r>
      <w:hyperlink r:id="rId12">
        <w:r>
          <w:rPr>
            <w:color w:val="1155CC"/>
            <w:u w:val="single"/>
          </w:rPr>
          <w:t>Ryan et al. Long-term weight loss effects of semaglutide in obesity without diabetes in SELECT. Nature Medicine, 2024.</w:t>
        </w:r>
      </w:hyperlink>
    </w:p>
    <w:p>
      <w:pPr>
        <w:pStyle w:val="SourceNote"/>
        <w:ind w:left="259" w:hanging="259"/>
      </w:pPr>
      <w:r>
        <w:t xml:space="preserve">5. </w:t>
      </w:r>
      <w:hyperlink r:id="rId13">
        <w:r>
          <w:rPr>
            <w:color w:val="1155CC"/>
            <w:u w:val="single"/>
          </w:rPr>
          <w:t>Kosiborod et al. Semaglutide in Patients with HFpEF and Obesity. NEJM (STEP-HFpEF), 2023.</w:t>
        </w:r>
      </w:hyperlink>
    </w:p>
    <w:p>
      <w:pPr>
        <w:pStyle w:val="SourceNote"/>
        <w:ind w:left="259" w:hanging="259"/>
      </w:pPr>
      <w:r>
        <w:t xml:space="preserve">6. </w:t>
      </w:r>
      <w:hyperlink r:id="rId14">
        <w:r>
          <w:rPr>
            <w:color w:val="1155CC"/>
            <w:u w:val="single"/>
          </w:rPr>
          <w:t>Perkovic et al. Effects of Semaglutide on Chronic Kidney Disease in Patients with Type 2 Diabetes. NEJM (FLOW), 2024.</w:t>
        </w:r>
      </w:hyperlink>
    </w:p>
    <w:p>
      <w:pPr>
        <w:pStyle w:val="SourceNote"/>
        <w:ind w:left="259" w:hanging="259"/>
      </w:pPr>
      <w:r>
        <w:t xml:space="preserve">7. </w:t>
      </w:r>
      <w:hyperlink r:id="rId15">
        <w:r>
          <w:rPr>
            <w:color w:val="1155CC"/>
            <w:u w:val="single"/>
          </w:rPr>
          <w:t>Malhotra et al. Tirzepatide for the Treatment of Obstructive Sleep Apnea and Obesity. NEJM (SURMOUNT-OSA), 2024.</w:t>
        </w:r>
      </w:hyperlink>
    </w:p>
    <w:p>
      <w:pPr>
        <w:pStyle w:val="SourceNote"/>
        <w:ind w:left="259" w:hanging="259"/>
      </w:pPr>
      <w:r>
        <w:t xml:space="preserve">8. </w:t>
      </w:r>
      <w:hyperlink r:id="rId16">
        <w:r>
          <w:rPr>
            <w:color w:val="1155CC"/>
            <w:u w:val="single"/>
          </w:rPr>
          <w:t>Jastreboff et al. Tirzepatide for Obesity Treatment and Diabetes Prevention. NEJM, 2025.</w:t>
        </w:r>
      </w:hyperlink>
    </w:p>
    <w:p>
      <w:pPr>
        <w:pStyle w:val="SourceNote"/>
        <w:ind w:left="259" w:hanging="259"/>
      </w:pPr>
      <w:r>
        <w:t xml:space="preserve">9. </w:t>
      </w:r>
      <w:hyperlink r:id="rId17">
        <w:r>
          <w:rPr>
            <w:color w:val="1155CC"/>
            <w:u w:val="single"/>
          </w:rPr>
          <w:t>Wilding et al. Weight regain and cardiometabolic effects after withdrawal of semaglutide: STEP 1 extension. Diabetes Obesity and Metabolism, 2022.</w:t>
        </w:r>
      </w:hyperlink>
    </w:p>
    <w:p>
      <w:pPr>
        <w:pStyle w:val="SourceNote"/>
        <w:ind w:left="259" w:hanging="259"/>
      </w:pPr>
      <w:r>
        <w:t xml:space="preserve">10. </w:t>
      </w:r>
      <w:hyperlink r:id="rId18">
        <w:r>
          <w:rPr>
            <w:color w:val="1155CC"/>
            <w:u w:val="single"/>
          </w:rPr>
          <w:t>Rubino et al. Effect of Continued Weekly Semaglutide vs Placebo on Weight Loss Maintenance: STEP 4. JAMA, 2021.</w:t>
        </w:r>
      </w:hyperlink>
    </w:p>
    <w:p>
      <w:pPr>
        <w:pStyle w:val="SourceNote"/>
        <w:ind w:left="259" w:hanging="259"/>
      </w:pPr>
      <w:r>
        <w:t xml:space="preserve">11. </w:t>
      </w:r>
      <w:hyperlink r:id="rId19">
        <w:r>
          <w:rPr>
            <w:color w:val="1155CC"/>
            <w:u w:val="single"/>
          </w:rPr>
          <w:t>King et al. Impact of Semaglutide on Body Composition: exploratory analysis of STEP 1, 2021.</w:t>
        </w:r>
      </w:hyperlink>
    </w:p>
    <w:p>
      <w:pPr>
        <w:pStyle w:val="SourceNote"/>
        <w:ind w:left="259" w:hanging="259"/>
      </w:pPr>
      <w:r>
        <w:t xml:space="preserve">12. </w:t>
      </w:r>
      <w:hyperlink r:id="rId20">
        <w:r>
          <w:rPr>
            <w:color w:val="1155CC"/>
            <w:u w:val="single"/>
          </w:rPr>
          <w:t>Look et al. Body composition changes during weight reduction with tirzepatide in SURMOUNT-1. Diabetes Obesity and Metabolism, 2025.</w:t>
        </w:r>
      </w:hyperlink>
    </w:p>
    <w:p>
      <w:pPr>
        <w:pStyle w:val="SourceNote"/>
        <w:ind w:left="259" w:hanging="259"/>
      </w:pPr>
      <w:r>
        <w:t xml:space="preserve">13. </w:t>
      </w:r>
      <w:hyperlink r:id="rId21">
        <w:r>
          <w:rPr>
            <w:color w:val="1155CC"/>
            <w:u w:val="single"/>
          </w:rPr>
          <w:t>Karakasis et al. Effect of GLP-1 receptor agonists and co-agonists on body composition: systematic review and network meta-analysis. 2025.</w:t>
        </w:r>
      </w:hyperlink>
    </w:p>
    <w:p>
      <w:pPr>
        <w:pStyle w:val="SourceNote"/>
        <w:ind w:left="259" w:hanging="259"/>
      </w:pPr>
      <w:r>
        <w:t xml:space="preserve">14. </w:t>
      </w:r>
      <w:hyperlink r:id="rId22">
        <w:r>
          <w:rPr>
            <w:color w:val="1155CC"/>
            <w:u w:val="single"/>
          </w:rPr>
          <w:t>Neeland et al. Changes in lean body mass with GLP-1-based therapies and mitigation strategies. Diabetes Obesity and Metabolism, 2024.</w:t>
        </w:r>
      </w:hyperlink>
    </w:p>
    <w:p>
      <w:pPr>
        <w:pStyle w:val="SourceNote"/>
        <w:ind w:left="259" w:hanging="259"/>
      </w:pPr>
      <w:r>
        <w:t xml:space="preserve">15. </w:t>
      </w:r>
      <w:hyperlink r:id="rId23">
        <w:r>
          <w:rPr>
            <w:color w:val="1155CC"/>
            <w:u w:val="single"/>
          </w:rPr>
          <w:t>Tinsley and Heymsfield. Fundamental Body Composition Principles Provide Context for Fat-Free and Skeletal Muscle Loss with GLP-1 RA Treatments. Journal of the Endocrine Society, 2024.</w:t>
        </w:r>
      </w:hyperlink>
    </w:p>
    <w:p>
      <w:pPr>
        <w:pStyle w:val="SourceNote"/>
        <w:ind w:left="259" w:hanging="259"/>
      </w:pPr>
      <w:r>
        <w:t xml:space="preserve">16. </w:t>
      </w:r>
      <w:hyperlink r:id="rId24">
        <w:r>
          <w:rPr>
            <w:color w:val="1155CC"/>
            <w:u w:val="single"/>
          </w:rPr>
          <w:t>Langer et al. Weight loss with GLP-1 medicines does not result in a disproportionate loss of muscle or physical function. Cell Metabolism, 2026.</w:t>
        </w:r>
      </w:hyperlink>
    </w:p>
    <w:p>
      <w:pPr>
        <w:pStyle w:val="SourceNote"/>
        <w:ind w:left="259" w:hanging="259"/>
      </w:pPr>
      <w:r>
        <w:t xml:space="preserve">17. </w:t>
      </w:r>
      <w:hyperlink r:id="rId25">
        <w:r>
          <w:rPr>
            <w:color w:val="1155CC"/>
            <w:u w:val="single"/>
          </w:rPr>
          <w:t>Mozaffarian et al. Nutritional priorities to support GLP-1 therapy for obesity: joint advisory. American Journal of Clinical Nutrition, 2025.</w:t>
        </w:r>
      </w:hyperlink>
    </w:p>
    <w:p>
      <w:pPr>
        <w:pStyle w:val="SourceNote"/>
        <w:ind w:left="259" w:hanging="259"/>
      </w:pPr>
      <w:r>
        <w:t xml:space="preserve">18. </w:t>
      </w:r>
      <w:hyperlink r:id="rId26">
        <w:r>
          <w:rPr>
            <w:color w:val="1155CC"/>
            <w:u w:val="single"/>
          </w:rPr>
          <w:t>The Obesity Society. Nutritional Priorities to Support GLP-1 Therapy for Obesity, 2025.</w:t>
        </w:r>
      </w:hyperlink>
    </w:p>
    <w:p>
      <w:pPr>
        <w:pStyle w:val="SourceNote"/>
        <w:ind w:left="259" w:hanging="259"/>
      </w:pPr>
      <w:r>
        <w:t xml:space="preserve">19. </w:t>
      </w:r>
      <w:hyperlink r:id="rId27">
        <w:r>
          <w:rPr>
            <w:color w:val="1155CC"/>
            <w:u w:val="single"/>
          </w:rPr>
          <w:t>Blundell et al. Effects of once-weekly semaglutide on appetite, energy intake and food preference. Diabetes Obesity and Metabolism, 2017.</w:t>
        </w:r>
      </w:hyperlink>
    </w:p>
    <w:p>
      <w:pPr>
        <w:pStyle w:val="SourceNote"/>
        <w:ind w:left="259" w:hanging="259"/>
      </w:pPr>
      <w:r>
        <w:t xml:space="preserve">20. </w:t>
      </w:r>
      <w:hyperlink r:id="rId28">
        <w:r>
          <w:rPr>
            <w:color w:val="1155CC"/>
            <w:u w:val="single"/>
          </w:rPr>
          <w:t>Friedrichsen et al. Semaglutide 2.4 mg and energy intake, appetite and gastric emptying. Diabetes Obesity and Metabolism, 2021.</w:t>
        </w:r>
      </w:hyperlink>
    </w:p>
    <w:p>
      <w:pPr>
        <w:pStyle w:val="SourceNote"/>
        <w:ind w:left="259" w:hanging="259"/>
      </w:pPr>
      <w:r>
        <w:t xml:space="preserve">21. </w:t>
      </w:r>
      <w:hyperlink r:id="rId29">
        <w:r>
          <w:rPr>
            <w:color w:val="1155CC"/>
            <w:u w:val="single"/>
          </w:rPr>
          <w:t>Bellicha et al. Effect of exercise training on weight loss, body composition and weight maintenance: overview of reviews. Obesity Reviews, 2021.</w:t>
        </w:r>
      </w:hyperlink>
    </w:p>
    <w:p>
      <w:pPr>
        <w:pStyle w:val="SourceNote"/>
        <w:ind w:left="259" w:hanging="259"/>
      </w:pPr>
      <w:r>
        <w:t xml:space="preserve">22. </w:t>
      </w:r>
      <w:hyperlink r:id="rId30">
        <w:r>
          <w:rPr>
            <w:color w:val="1155CC"/>
            <w:u w:val="single"/>
          </w:rPr>
          <w:t>Villareal et al. Aerobic or Resistance Exercise, or Both, in Dieting Obese Older Adults. NEJM, 2017.</w:t>
        </w:r>
      </w:hyperlink>
    </w:p>
    <w:p>
      <w:pPr>
        <w:pStyle w:val="SourceNote"/>
        <w:ind w:left="259" w:hanging="259"/>
      </w:pPr>
      <w:r>
        <w:t xml:space="preserve">23. </w:t>
      </w:r>
      <w:hyperlink r:id="rId31">
        <w:r>
          <w:rPr>
            <w:color w:val="1155CC"/>
            <w:u w:val="single"/>
          </w:rPr>
          <w:t>Armamento-Villareal et al. Effect of Aerobic or Resistance Exercise, or Both, on Bone Mineral Density During Weight Loss. JBMR, 2020.</w:t>
        </w:r>
      </w:hyperlink>
    </w:p>
    <w:p>
      <w:pPr>
        <w:pStyle w:val="SourceNote"/>
        <w:ind w:left="259" w:hanging="259"/>
      </w:pPr>
      <w:r>
        <w:t xml:space="preserve">24. </w:t>
      </w:r>
      <w:hyperlink r:id="rId32">
        <w:r>
          <w:rPr>
            <w:color w:val="1155CC"/>
            <w:u w:val="single"/>
          </w:rPr>
          <w:t>Nunes et al. Systematic review and meta-analysis of protein intake and resistance training. Sports Medicine, 2022.</w:t>
        </w:r>
      </w:hyperlink>
    </w:p>
    <w:p>
      <w:pPr>
        <w:pStyle w:val="SourceNote"/>
        <w:ind w:left="259" w:hanging="259"/>
      </w:pPr>
      <w:r>
        <w:t xml:space="preserve">25. </w:t>
      </w:r>
      <w:hyperlink r:id="rId33">
        <w:r>
          <w:rPr>
            <w:color w:val="1155CC"/>
            <w:u w:val="single"/>
          </w:rPr>
          <w:t>Leidy et al. The role of protein in weight loss and maintenance. American Journal of Clinical Nutrition, 2015.</w:t>
        </w:r>
      </w:hyperlink>
    </w:p>
    <w:p>
      <w:pPr>
        <w:pStyle w:val="SourceNote"/>
        <w:ind w:left="259" w:hanging="259"/>
      </w:pPr>
      <w:r>
        <w:t xml:space="preserve">26. </w:t>
      </w:r>
      <w:hyperlink r:id="rId34">
        <w:r>
          <w:rPr>
            <w:color w:val="1155CC"/>
            <w:u w:val="single"/>
          </w:rPr>
          <w:t>Pasiakos et al. Effects of high-protein diets on fat-free mass during energy deficit. FASEB Journal, 2013.</w:t>
        </w:r>
      </w:hyperlink>
    </w:p>
    <w:p>
      <w:pPr>
        <w:pStyle w:val="SourceNote"/>
        <w:ind w:left="259" w:hanging="259"/>
      </w:pPr>
      <w:r>
        <w:t xml:space="preserve">27. </w:t>
      </w:r>
      <w:hyperlink r:id="rId35">
        <w:r>
          <w:rPr>
            <w:color w:val="1155CC"/>
            <w:u w:val="single"/>
          </w:rPr>
          <w:t>Kokura et al. Enhanced protein intake for maintaining muscle during weight loss: systematic review and meta-analysis. 2024.</w:t>
        </w:r>
      </w:hyperlink>
    </w:p>
    <w:p>
      <w:pPr>
        <w:pStyle w:val="SourceNote"/>
        <w:ind w:left="259" w:hanging="259"/>
      </w:pPr>
      <w:r>
        <w:t xml:space="preserve">28. </w:t>
      </w:r>
      <w:hyperlink r:id="rId36">
        <w:r>
          <w:rPr>
            <w:color w:val="1155CC"/>
            <w:u w:val="single"/>
          </w:rPr>
          <w:t>Kerksick et al. ISSN position stand: nutrient timing. Journal of the International Society of Sports Nutrition, 2017.</w:t>
        </w:r>
      </w:hyperlink>
    </w:p>
    <w:p>
      <w:pPr>
        <w:pStyle w:val="SourceNote"/>
        <w:ind w:left="259" w:hanging="259"/>
      </w:pPr>
      <w:r>
        <w:t xml:space="preserve">29. </w:t>
      </w:r>
      <w:hyperlink r:id="rId37">
        <w:r>
          <w:rPr>
            <w:color w:val="1155CC"/>
            <w:u w:val="single"/>
          </w:rPr>
          <w:t>Desai et al. Creatine plus resistance training and body composition: systematic review and meta-analysis. JSCR, 2024.</w:t>
        </w:r>
      </w:hyperlink>
    </w:p>
    <w:p>
      <w:pPr>
        <w:pStyle w:val="SourceNote"/>
        <w:ind w:left="259" w:hanging="259"/>
      </w:pPr>
      <w:r>
        <w:t xml:space="preserve">30. </w:t>
      </w:r>
      <w:hyperlink r:id="rId38">
        <w:r>
          <w:rPr>
            <w:color w:val="1155CC"/>
            <w:u w:val="single"/>
          </w:rPr>
          <w:t>Burke et al. Creatine plus resistance training and direct measures of skeletal muscle hypertrophy: meta-analysis, 2023.</w:t>
        </w:r>
      </w:hyperlink>
    </w:p>
    <w:p>
      <w:pPr>
        <w:pStyle w:val="SourceNote"/>
        <w:ind w:left="259" w:hanging="259"/>
      </w:pPr>
      <w:r>
        <w:t xml:space="preserve">31. </w:t>
      </w:r>
      <w:hyperlink r:id="rId39">
        <w:r>
          <w:rPr>
            <w:color w:val="1155CC"/>
            <w:u w:val="single"/>
          </w:rPr>
          <w:t>Wang et al. Creatine supplementation and resistance-training strength in adults under 50: meta-analysis, 2024.</w:t>
        </w:r>
      </w:hyperlink>
    </w:p>
    <w:p>
      <w:pPr>
        <w:pStyle w:val="SourceNote"/>
        <w:ind w:left="259" w:hanging="259"/>
      </w:pPr>
      <w:r>
        <w:t xml:space="preserve">32. </w:t>
      </w:r>
      <w:hyperlink r:id="rId40">
        <w:r>
          <w:rPr>
            <w:color w:val="1155CC"/>
            <w:u w:val="single"/>
          </w:rPr>
          <w:t>Myung and Park. Effects of Collagen Supplements on Skin Aging: systematic review and meta-analysis. American Journal of Medicine, 2025.</w:t>
        </w:r>
      </w:hyperlink>
    </w:p>
    <w:p>
      <w:pPr>
        <w:pStyle w:val="SourceNote"/>
        <w:ind w:left="259" w:hanging="259"/>
      </w:pPr>
      <w:r>
        <w:t xml:space="preserve">33. </w:t>
      </w:r>
      <w:hyperlink r:id="rId41">
        <w:r>
          <w:rPr>
            <w:color w:val="1155CC"/>
            <w:u w:val="single"/>
          </w:rPr>
          <w:t>Rocha et al. Skin Changes Due to Massive Weight Loss. Aesthetic Surgery Journal, 2021.</w:t>
        </w:r>
      </w:hyperlink>
    </w:p>
    <w:p>
      <w:pPr>
        <w:pStyle w:val="SourceNote"/>
        <w:ind w:left="259" w:hanging="259"/>
      </w:pPr>
      <w:r>
        <w:t xml:space="preserve">34. </w:t>
      </w:r>
      <w:hyperlink r:id="rId42">
        <w:r>
          <w:rPr>
            <w:color w:val="1155CC"/>
            <w:u w:val="single"/>
          </w:rPr>
          <w:t>Sami et al. Image analyzer study of skin after massive weight loss. Aesthetic Plastic Surgery, 2015.</w:t>
        </w:r>
      </w:hyperlink>
    </w:p>
    <w:p>
      <w:pPr>
        <w:pStyle w:val="SourceNote"/>
        <w:ind w:left="259" w:hanging="259"/>
      </w:pPr>
      <w:r>
        <w:t xml:space="preserve">35. </w:t>
      </w:r>
      <w:hyperlink r:id="rId43">
        <w:r>
          <w:rPr>
            <w:color w:val="1155CC"/>
            <w:u w:val="single"/>
          </w:rPr>
          <w:t>American Academy of Dermatology. How can GLP-1 drugs affect my skin, hair, and nails? 2026.</w:t>
        </w:r>
      </w:hyperlink>
    </w:p>
    <w:p>
      <w:pPr>
        <w:pStyle w:val="SourceNote"/>
        <w:ind w:left="259" w:hanging="259"/>
      </w:pPr>
      <w:r>
        <w:t xml:space="preserve">36. </w:t>
      </w:r>
      <w:hyperlink r:id="rId44">
        <w:r>
          <w:rPr>
            <w:color w:val="1155CC"/>
            <w:u w:val="single"/>
          </w:rPr>
          <w:t>American Society of Plastic Surgeons. How plastic surgery can address 'Ozempic face,' 2025.</w:t>
        </w:r>
      </w:hyperlink>
    </w:p>
    <w:p>
      <w:pPr>
        <w:pStyle w:val="SourceNote"/>
        <w:ind w:left="259" w:hanging="259"/>
      </w:pPr>
      <w:r>
        <w:t xml:space="preserve">37. </w:t>
      </w:r>
      <w:hyperlink r:id="rId45">
        <w:r>
          <w:rPr>
            <w:color w:val="1155CC"/>
            <w:u w:val="single"/>
          </w:rPr>
          <w:t>Desai et al. GLP-1 agonists and hair loss: a call for further investigation. International Journal of Dermatology, 2024.</w:t>
        </w:r>
      </w:hyperlink>
    </w:p>
    <w:p>
      <w:pPr>
        <w:pStyle w:val="SourceNote"/>
        <w:ind w:left="259" w:hanging="259"/>
      </w:pPr>
      <w:r>
        <w:t xml:space="preserve">38. </w:t>
      </w:r>
      <w:hyperlink r:id="rId46">
        <w:r>
          <w:rPr>
            <w:color w:val="1155CC"/>
            <w:u w:val="single"/>
          </w:rPr>
          <w:t>FDA. Wegovy prescribing information, 2026.</w:t>
        </w:r>
      </w:hyperlink>
    </w:p>
    <w:p>
      <w:pPr>
        <w:pStyle w:val="SourceNote"/>
        <w:ind w:left="259" w:hanging="259"/>
      </w:pPr>
      <w:r>
        <w:t xml:space="preserve">39. </w:t>
      </w:r>
      <w:hyperlink r:id="rId47">
        <w:r>
          <w:rPr>
            <w:color w:val="1155CC"/>
            <w:u w:val="single"/>
          </w:rPr>
          <w:t>FDA. Zepbound prescribing information, 2026.</w:t>
        </w:r>
      </w:hyperlink>
    </w:p>
    <w:p>
      <w:pPr>
        <w:pStyle w:val="SourceNote"/>
        <w:ind w:left="259" w:hanging="259"/>
      </w:pPr>
      <w:r>
        <w:t xml:space="preserve">40. </w:t>
      </w:r>
      <w:hyperlink r:id="rId48">
        <w:r>
          <w:rPr>
            <w:color w:val="1155CC"/>
            <w:u w:val="single"/>
          </w:rPr>
          <w:t>CDC/NCHS. Obesity and Severe Obesity Prevalence in Adults: United States, August 2021-August 2023.</w:t>
        </w:r>
      </w:hyperlink>
    </w:p>
    <w:p>
      <w:pPr>
        <w:pStyle w:val="SourceNote"/>
        <w:ind w:left="259" w:hanging="259"/>
      </w:pPr>
      <w:r>
        <w:t xml:space="preserve">41. </w:t>
      </w:r>
      <w:hyperlink r:id="rId49">
        <w:r>
          <w:rPr>
            <w:color w:val="1155CC"/>
            <w:u w:val="single"/>
          </w:rPr>
          <w:t>KFF. Health Tracking Poll: GLP-1 use, March 2026.</w:t>
        </w:r>
      </w:hyperlink>
    </w:p>
    <w:p>
      <w:pPr>
        <w:pStyle w:val="SourceNote"/>
        <w:ind w:left="259" w:hanging="259"/>
      </w:pPr>
      <w:r>
        <w:t xml:space="preserve">42. </w:t>
      </w:r>
      <w:hyperlink r:id="rId50">
        <w:r>
          <w:rPr>
            <w:color w:val="1155CC"/>
            <w:u w:val="single"/>
          </w:rPr>
          <w:t>FDA. Structure/Function Claims, 2024.</w:t>
        </w:r>
      </w:hyperlink>
    </w:p>
    <w:p>
      <w:pPr>
        <w:pStyle w:val="SourceNote"/>
        <w:ind w:left="259" w:hanging="259"/>
      </w:pPr>
      <w:r>
        <w:t xml:space="preserve">43. </w:t>
      </w:r>
      <w:hyperlink r:id="rId51">
        <w:r>
          <w:rPr>
            <w:color w:val="1155CC"/>
            <w:u w:val="single"/>
          </w:rPr>
          <w:t>FTC. Health Products Compliance Guidance, 2022.</w:t>
        </w:r>
      </w:hyperlink>
    </w:p>
    <w:p>
      <w:pPr>
        <w:pStyle w:val="SourceNote"/>
        <w:ind w:left="259" w:hanging="259"/>
      </w:pPr>
      <w:r>
        <w:t xml:space="preserve">44. </w:t>
      </w:r>
      <w:hyperlink r:id="rId52">
        <w:r>
          <w:rPr>
            <w:color w:val="1155CC"/>
            <w:u w:val="single"/>
          </w:rPr>
          <w:t>FDA. Concerns with Unapproved GLP-1 Drugs Used for Weight Loss, 2026.</w:t>
        </w:r>
      </w:hyperlink>
    </w:p>
    <w:p>
      <w:pPr>
        <w:pStyle w:val="SourceNote"/>
        <w:ind w:left="259" w:hanging="259"/>
      </w:pPr>
      <w:r>
        <w:t xml:space="preserve">45. </w:t>
      </w:r>
      <w:hyperlink r:id="rId53">
        <w:r>
          <w:rPr>
            <w:color w:val="1155CC"/>
            <w:u w:val="single"/>
          </w:rPr>
          <w:t>FDA. Warning Letter to Hims &amp; Hers Health concerning compounded semaglutide promotion, 2025.</w:t>
        </w:r>
      </w:hyperlink>
    </w:p>
    <w:p>
      <w:pPr>
        <w:pStyle w:val="SourceNote"/>
        <w:ind w:left="259" w:hanging="259"/>
      </w:pPr>
      <w:r>
        <w:t xml:space="preserve">46. </w:t>
      </w:r>
      <w:hyperlink r:id="rId54">
        <w:r>
          <w:rPr>
            <w:color w:val="1155CC"/>
            <w:u w:val="single"/>
          </w:rPr>
          <w:t>Ashtary-Larky et al. Gradual versus rapid weight loss on body composition and resting metabolic rate: meta-analysis. British Journal of Nutrition, 2020.</w:t>
        </w:r>
      </w:hyperlink>
    </w:p>
    <w:p>
      <w:pPr>
        <w:pStyle w:val="SourceNote"/>
        <w:ind w:left="259" w:hanging="259"/>
      </w:pPr>
      <w:r>
        <w:t xml:space="preserve">47. </w:t>
      </w:r>
      <w:hyperlink r:id="rId55">
        <w:r>
          <w:rPr>
            <w:color w:val="1155CC"/>
            <w:u w:val="single"/>
          </w:rPr>
          <w:t>Wu. Dietary protein intake and human health. Food &amp; Function, 2016.</w:t>
        </w:r>
      </w:hyperlink>
    </w:p>
    <w:p>
      <w:pPr>
        <w:pStyle w:val="SourceNote"/>
        <w:ind w:left="259" w:hanging="259"/>
      </w:pPr>
      <w:r>
        <w:t xml:space="preserve">48. </w:t>
      </w:r>
      <w:hyperlink r:id="rId56">
        <w:r>
          <w:rPr>
            <w:color w:val="1155CC"/>
            <w:u w:val="single"/>
          </w:rPr>
          <w:t>Cava et al. Preserving Healthy Muscle during Weight Loss. Advances in Nutrition, 2017.</w:t>
        </w:r>
      </w:hyperlink>
    </w:p>
    <w:p>
      <w:pPr>
        <w:pStyle w:val="SourceNote"/>
        <w:ind w:left="259" w:hanging="259"/>
      </w:pPr>
      <w:r>
        <w:t xml:space="preserve">49. </w:t>
      </w:r>
      <w:hyperlink r:id="rId57">
        <w:r>
          <w:rPr>
            <w:color w:val="1155CC"/>
            <w:u w:val="single"/>
          </w:rPr>
          <w:t>Memel et al. Impact of GLP-1 receptor agonist therapy in patients at high risk for sarcopenia. Current Nutrition Reports, 2025.</w:t>
        </w:r>
      </w:hyperlink>
    </w:p>
    <w:p>
      <w:pPr>
        <w:pStyle w:val="SourceNote"/>
        <w:ind w:left="259" w:hanging="259"/>
      </w:pPr>
      <w:r>
        <w:t xml:space="preserve">50. </w:t>
      </w:r>
      <w:hyperlink r:id="rId58">
        <w:r>
          <w:rPr>
            <w:color w:val="1155CC"/>
            <w:u w:val="single"/>
          </w:rPr>
          <w:t>Chavez et al. Nutrition support whilst on GLP-1-based therapy: preserving muscle and bone. Current Opinion in Clinical Nutrition, 2025.</w:t>
        </w:r>
      </w:hyperlink>
    </w:p>
    <w:p>
      <w:pPr>
        <w:pStyle w:val="SourceNote"/>
        <w:ind w:left="259" w:hanging="259"/>
      </w:pPr>
      <w:r>
        <w:t xml:space="preserve">51. </w:t>
      </w:r>
      <w:hyperlink r:id="rId59">
        <w:r>
          <w:rPr>
            <w:color w:val="1155CC"/>
            <w:u w:val="single"/>
          </w:rPr>
          <w:t>Linge et al. Muscle Mass and GLP-1 Receptor Agonists: adaptive changes, not sarcopenia? 2024.</w:t>
        </w:r>
      </w:hyperlink>
    </w:p>
    <w:p>
      <w:pPr>
        <w:pStyle w:val="SourceNote"/>
        <w:ind w:left="259" w:hanging="259"/>
      </w:pPr>
      <w:r>
        <w:t xml:space="preserve">52. </w:t>
      </w:r>
      <w:hyperlink r:id="rId60">
        <w:r>
          <w:rPr>
            <w:color w:val="1155CC"/>
            <w:u w:val="single"/>
          </w:rPr>
          <w:t>Agarwal et al. Body composition in anti-obesity medication trials: beyond scales. JAMA Internal Medicine, 2024.</w:t>
        </w:r>
      </w:hyperlink>
    </w:p>
    <w:p>
      <w:pPr>
        <w:pStyle w:val="Heading1"/>
      </w:pPr>
      <w:r>
        <w:t>Final editorial note</w:t>
      </w:r>
    </w:p>
    <w:p>
      <w:r>
        <w:rPr>
          <w:i w:val="0"/>
        </w:rPr>
        <w:t>The strongest Peptis story is not that GLP-1 medicines are dangerous. It is that modern obesity treatment has become powerful enough that people need an equally modern system for the quality of their weight loss. The brand should make strength, protein adequacy, function, tolerability, skin honesty and maintenance visible—then prove that its own products and program help users follow those behaviors.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22"/>
    </w:rPr>
  </w:style>
  <w:style w:type="paragraph" w:styleId="ListBullet2">
    <w:name w:val="List Bullet 2"/>
    <w:basedOn w:val="Normal"/>
    <w:uiPriority w:val="99"/>
    <w:unhideWhenUsed/>
    <w:rsid w:val="00326F90"/>
    <w:pPr>
      <w:numPr>
        <w:numId w:val="2"/>
      </w:numPr>
      <w:spacing w:after="80" w:line="276" w:lineRule="auto"/>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52" w:lineRule="auto"/>
    </w:pPr>
    <w:rPr>
      <w:rFonts w:ascii="Arial" w:hAnsi="Arial"/>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ejm.org/doi/full/10.1056/NEJMoa2032183" TargetMode="External"/><Relationship Id="rId10" Type="http://schemas.openxmlformats.org/officeDocument/2006/relationships/hyperlink" Target="https://www.nejm.org/doi/full/10.1056/NEJMoa2206038" TargetMode="External"/><Relationship Id="rId11" Type="http://schemas.openxmlformats.org/officeDocument/2006/relationships/hyperlink" Target="https://pubmed.ncbi.nlm.nih.gov/37952131/" TargetMode="External"/><Relationship Id="rId12" Type="http://schemas.openxmlformats.org/officeDocument/2006/relationships/hyperlink" Target="https://pubmed.ncbi.nlm.nih.gov/38740993/" TargetMode="External"/><Relationship Id="rId13" Type="http://schemas.openxmlformats.org/officeDocument/2006/relationships/hyperlink" Target="https://pubmed.ncbi.nlm.nih.gov/37622681/" TargetMode="External"/><Relationship Id="rId14" Type="http://schemas.openxmlformats.org/officeDocument/2006/relationships/hyperlink" Target="https://www.nejm.org/doi/abs/10.1056/NEJMoa2403347" TargetMode="External"/><Relationship Id="rId15" Type="http://schemas.openxmlformats.org/officeDocument/2006/relationships/hyperlink" Target="https://pubmed.ncbi.nlm.nih.gov/38912654/" TargetMode="External"/><Relationship Id="rId16" Type="http://schemas.openxmlformats.org/officeDocument/2006/relationships/hyperlink" Target="https://pubmed.ncbi.nlm.nih.gov/39536238/" TargetMode="External"/><Relationship Id="rId17" Type="http://schemas.openxmlformats.org/officeDocument/2006/relationships/hyperlink" Target="https://pubmed.ncbi.nlm.nih.gov/35441470/" TargetMode="External"/><Relationship Id="rId18" Type="http://schemas.openxmlformats.org/officeDocument/2006/relationships/hyperlink" Target="https://pubmed.ncbi.nlm.nih.gov/33755728/" TargetMode="External"/><Relationship Id="rId19" Type="http://schemas.openxmlformats.org/officeDocument/2006/relationships/hyperlink" Target="https://pmc.ncbi.nlm.nih.gov/articles/PMC8089287/" TargetMode="External"/><Relationship Id="rId20" Type="http://schemas.openxmlformats.org/officeDocument/2006/relationships/hyperlink" Target="https://pubmed.ncbi.nlm.nih.gov/39996356/" TargetMode="External"/><Relationship Id="rId21" Type="http://schemas.openxmlformats.org/officeDocument/2006/relationships/hyperlink" Target="https://pubmed.ncbi.nlm.nih.gov/39719170/" TargetMode="External"/><Relationship Id="rId22" Type="http://schemas.openxmlformats.org/officeDocument/2006/relationships/hyperlink" Target="https://pubmed.ncbi.nlm.nih.gov/38937282/" TargetMode="External"/><Relationship Id="rId23" Type="http://schemas.openxmlformats.org/officeDocument/2006/relationships/hyperlink" Target="https://pubmed.ncbi.nlm.nih.gov/39372917/" TargetMode="External"/><Relationship Id="rId24" Type="http://schemas.openxmlformats.org/officeDocument/2006/relationships/hyperlink" Target="https://pubmed.ncbi.nlm.nih.gov/41850248/" TargetMode="External"/><Relationship Id="rId25" Type="http://schemas.openxmlformats.org/officeDocument/2006/relationships/hyperlink" Target="https://pubmed.ncbi.nlm.nih.gov/40445127/" TargetMode="External"/><Relationship Id="rId26" Type="http://schemas.openxmlformats.org/officeDocument/2006/relationships/hyperlink" Target="https://www.obesity.org/nutritional-priorities-to-support-glp-1-therapy-for-obesity/" TargetMode="External"/><Relationship Id="rId27" Type="http://schemas.openxmlformats.org/officeDocument/2006/relationships/hyperlink" Target="https://pubmed.ncbi.nlm.nih.gov/28266779/" TargetMode="External"/><Relationship Id="rId28" Type="http://schemas.openxmlformats.org/officeDocument/2006/relationships/hyperlink" Target="https://pubmed.ncbi.nlm.nih.gov/33269530/" TargetMode="External"/><Relationship Id="rId29" Type="http://schemas.openxmlformats.org/officeDocument/2006/relationships/hyperlink" Target="https://pubmed.ncbi.nlm.nih.gov/33955140/" TargetMode="External"/><Relationship Id="rId30" Type="http://schemas.openxmlformats.org/officeDocument/2006/relationships/hyperlink" Target="https://pubmed.ncbi.nlm.nih.gov/28514618/" TargetMode="External"/><Relationship Id="rId31" Type="http://schemas.openxmlformats.org/officeDocument/2006/relationships/hyperlink" Target="https://pubmed.ncbi.nlm.nih.gov/31797417/" TargetMode="External"/><Relationship Id="rId32" Type="http://schemas.openxmlformats.org/officeDocument/2006/relationships/hyperlink" Target="https://pubmed.ncbi.nlm.nih.gov/35187864/" TargetMode="External"/><Relationship Id="rId33" Type="http://schemas.openxmlformats.org/officeDocument/2006/relationships/hyperlink" Target="https://pubmed.ncbi.nlm.nih.gov/25926512/" TargetMode="External"/><Relationship Id="rId34" Type="http://schemas.openxmlformats.org/officeDocument/2006/relationships/hyperlink" Target="https://pubmed.ncbi.nlm.nih.gov/23739654/" TargetMode="External"/><Relationship Id="rId35" Type="http://schemas.openxmlformats.org/officeDocument/2006/relationships/hyperlink" Target="https://pubmed.ncbi.nlm.nih.gov/39002131/" TargetMode="External"/><Relationship Id="rId36" Type="http://schemas.openxmlformats.org/officeDocument/2006/relationships/hyperlink" Target="https://pubmed.ncbi.nlm.nih.gov/28919842/" TargetMode="External"/><Relationship Id="rId37" Type="http://schemas.openxmlformats.org/officeDocument/2006/relationships/hyperlink" Target="https://pubmed.ncbi.nlm.nih.gov/39074168/" TargetMode="External"/><Relationship Id="rId38" Type="http://schemas.openxmlformats.org/officeDocument/2006/relationships/hyperlink" Target="https://pubmed.ncbi.nlm.nih.gov/37432300/" TargetMode="External"/><Relationship Id="rId39" Type="http://schemas.openxmlformats.org/officeDocument/2006/relationships/hyperlink" Target="https://pubmed.ncbi.nlm.nih.gov/39519498/" TargetMode="External"/><Relationship Id="rId40" Type="http://schemas.openxmlformats.org/officeDocument/2006/relationships/hyperlink" Target="https://pubmed.ncbi.nlm.nih.gov/40324552/" TargetMode="External"/><Relationship Id="rId41" Type="http://schemas.openxmlformats.org/officeDocument/2006/relationships/hyperlink" Target="https://pubmed.ncbi.nlm.nih.gov/33145720/" TargetMode="External"/><Relationship Id="rId42" Type="http://schemas.openxmlformats.org/officeDocument/2006/relationships/hyperlink" Target="https://pubmed.ncbi.nlm.nih.gov/25671051/" TargetMode="External"/><Relationship Id="rId43" Type="http://schemas.openxmlformats.org/officeDocument/2006/relationships/hyperlink" Target="https://www.aad.org/public/everyday-care/skin-care-secrets/prevent-skin-problems/glp1-drugs-and-side-effects" TargetMode="External"/><Relationship Id="rId44" Type="http://schemas.openxmlformats.org/officeDocument/2006/relationships/hyperlink" Target="https://www.plasticsurgery.org/news/articles/how-plastic-surgery-can-address-ozempic-face" TargetMode="External"/><Relationship Id="rId45" Type="http://schemas.openxmlformats.org/officeDocument/2006/relationships/hyperlink" Target="https://pubmed.ncbi.nlm.nih.gov/38741261/" TargetMode="External"/><Relationship Id="rId46" Type="http://schemas.openxmlformats.org/officeDocument/2006/relationships/hyperlink" Target="https://www.accessdata.fda.gov/drugsatfda_docs/label/2026/218316s005lbl.pdf" TargetMode="External"/><Relationship Id="rId47" Type="http://schemas.openxmlformats.org/officeDocument/2006/relationships/hyperlink" Target="https://www.accessdata.fda.gov/drugsatfda_docs/label/2026/217806s042lbl.pdf" TargetMode="External"/><Relationship Id="rId48" Type="http://schemas.openxmlformats.org/officeDocument/2006/relationships/hyperlink" Target="https://www.cdc.gov/nchs/products/databriefs/db508.htm" TargetMode="External"/><Relationship Id="rId49" Type="http://schemas.openxmlformats.org/officeDocument/2006/relationships/hyperlink" Target="https://www.kff.org/health-costs/public-opinion-on-prescription-drugs-and-their-prices/" TargetMode="External"/><Relationship Id="rId50" Type="http://schemas.openxmlformats.org/officeDocument/2006/relationships/hyperlink" Target="https://www.fda.gov/food/nutrition-food-labeling-and-critical-foods/structurefunction-claims" TargetMode="External"/><Relationship Id="rId51" Type="http://schemas.openxmlformats.org/officeDocument/2006/relationships/hyperlink" Target="https://www.ftc.gov/business-guidance/resources/health-products-compliance-guidance" TargetMode="External"/><Relationship Id="rId52" Type="http://schemas.openxmlformats.org/officeDocument/2006/relationships/hyperlink" Target="https://www.fda.gov/drugs/drug-alerts-and-statements/fdas-concerns-unapproved-glp-1-drugs-used-weight-loss" TargetMode="External"/><Relationship Id="rId53" Type="http://schemas.openxmlformats.org/officeDocument/2006/relationships/hyperlink" Target="https://www.fda.gov/inspections-compliance-enforcement-and-criminal-investigations/warning-letters/hims-hers-health-inc-dba-hers-716825-09092025" TargetMode="External"/><Relationship Id="rId54" Type="http://schemas.openxmlformats.org/officeDocument/2006/relationships/hyperlink" Target="https://pubmed.ncbi.nlm.nih.gov/32576318/" TargetMode="External"/><Relationship Id="rId55" Type="http://schemas.openxmlformats.org/officeDocument/2006/relationships/hyperlink" Target="https://pubmed.ncbi.nlm.nih.gov/26797090/" TargetMode="External"/><Relationship Id="rId56" Type="http://schemas.openxmlformats.org/officeDocument/2006/relationships/hyperlink" Target="https://pubmed.ncbi.nlm.nih.gov/28507015/" TargetMode="External"/><Relationship Id="rId57" Type="http://schemas.openxmlformats.org/officeDocument/2006/relationships/hyperlink" Target="https://pubmed.ncbi.nlm.nih.gov/40289060/" TargetMode="External"/><Relationship Id="rId58" Type="http://schemas.openxmlformats.org/officeDocument/2006/relationships/hyperlink" Target="https://pubmed.ncbi.nlm.nih.gov/40401903/" TargetMode="External"/><Relationship Id="rId59" Type="http://schemas.openxmlformats.org/officeDocument/2006/relationships/hyperlink" Target="https://pubmed.ncbi.nlm.nih.gov/39401279/" TargetMode="External"/><Relationship Id="rId60" Type="http://schemas.openxmlformats.org/officeDocument/2006/relationships/hyperlink" Target="https://jamanetwork.com/journals/jamainternalmedicine/article-abstract/2815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Peptis GLP-1 Body Recomposition Evidence Dossier</dc:title>
  <dc:subject>Clinical evidence, landing-page statistics, claims and SEO strategy</dc:subject>
  <dc:creator>Peptis</dc:creator>
  <cp:keywords>GLP-1, semaglutide, tirzepatide, body composition, muscle, protein, resistance training, skin laxity, SEO</cp:keywords>
  <dc:description>generated by python-docx</dc:description>
  <cp:lastModifiedBy/>
  <cp:revision>1</cp:revision>
  <dcterms:created xsi:type="dcterms:W3CDTF">2013-12-23T23:15:00Z</dcterms:created>
  <dcterms:modified xsi:type="dcterms:W3CDTF">2013-12-23T23:15:00Z</dcterms:modified>
  <cp:category/>
</cp:coreProperties>
</file>