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C1A38D" w14:textId="0D498BD9" w:rsidR="00802BCF" w:rsidRPr="004D6499" w:rsidRDefault="00013A31" w:rsidP="00DB32A9">
      <w:pPr>
        <w:jc w:val="center"/>
        <w:rPr>
          <w:rFonts w:ascii="宋体" w:hAnsi="宋体"/>
          <w:b/>
          <w:szCs w:val="21"/>
        </w:rPr>
      </w:pPr>
      <w:r>
        <w:rPr>
          <w:rFonts w:ascii="宋体" w:hAnsi="宋体" w:hint="eastAsia"/>
          <w:b/>
          <w:szCs w:val="21"/>
        </w:rPr>
        <w:t>南方</w:t>
      </w:r>
      <w:r w:rsidR="000F5270">
        <w:rPr>
          <w:rFonts w:ascii="宋体" w:hAnsi="宋体" w:hint="eastAsia"/>
          <w:b/>
          <w:szCs w:val="21"/>
        </w:rPr>
        <w:t>{{指数名称}}</w:t>
      </w:r>
      <w:r>
        <w:rPr>
          <w:rFonts w:ascii="宋体" w:hAnsi="宋体" w:hint="eastAsia"/>
          <w:b/>
          <w:szCs w:val="21"/>
        </w:rPr>
        <w:t>交易型开放式指数证券投资基金</w:t>
      </w:r>
      <w:r w:rsidR="009D48A3">
        <w:rPr>
          <w:rFonts w:ascii="宋体" w:hAnsi="宋体" w:hint="eastAsia"/>
          <w:b/>
          <w:szCs w:val="21"/>
        </w:rPr>
        <w:t>发起式</w:t>
      </w:r>
      <w:r>
        <w:rPr>
          <w:rFonts w:ascii="宋体" w:hAnsi="宋体" w:hint="eastAsia"/>
          <w:b/>
          <w:szCs w:val="21"/>
        </w:rPr>
        <w:t>联接基金</w:t>
      </w:r>
      <w:r w:rsidR="00802BCF" w:rsidRPr="004D6499">
        <w:rPr>
          <w:rFonts w:ascii="宋体" w:hAnsi="宋体" w:hint="eastAsia"/>
          <w:b/>
          <w:szCs w:val="21"/>
        </w:rPr>
        <w:t>产品方案</w:t>
      </w:r>
    </w:p>
    <w:p w14:paraId="36AC00E9" w14:textId="77777777" w:rsidR="00334051" w:rsidRDefault="00334051" w:rsidP="00C8397D">
      <w:pPr>
        <w:adjustRightInd w:val="0"/>
        <w:snapToGrid w:val="0"/>
        <w:spacing w:line="360" w:lineRule="auto"/>
        <w:ind w:firstLineChars="200" w:firstLine="400"/>
        <w:rPr>
          <w:rFonts w:ascii="宋体" w:hAnsi="宋体"/>
          <w:sz w:val="20"/>
          <w:szCs w:val="20"/>
        </w:rPr>
      </w:pPr>
    </w:p>
    <w:p w14:paraId="7FABB652" w14:textId="77777777" w:rsidR="004D6499" w:rsidRPr="00C84753" w:rsidRDefault="004D6499" w:rsidP="004D6499">
      <w:pPr>
        <w:snapToGrid w:val="0"/>
        <w:spacing w:line="360" w:lineRule="auto"/>
        <w:ind w:firstLineChars="200" w:firstLine="422"/>
        <w:outlineLvl w:val="0"/>
        <w:rPr>
          <w:rFonts w:ascii="宋体" w:hAnsi="宋体"/>
          <w:b/>
        </w:rPr>
      </w:pPr>
      <w:r w:rsidRPr="00C84753">
        <w:rPr>
          <w:rFonts w:ascii="宋体" w:hAnsi="宋体" w:hint="eastAsia"/>
          <w:b/>
        </w:rPr>
        <w:t>一、</w:t>
      </w:r>
      <w:r>
        <w:rPr>
          <w:rFonts w:ascii="宋体" w:hAnsi="宋体" w:hint="eastAsia"/>
          <w:b/>
        </w:rPr>
        <w:t>产品设计背景</w:t>
      </w:r>
    </w:p>
    <w:p w14:paraId="252D915B" w14:textId="2385FD18" w:rsidR="003126E8" w:rsidRDefault="00C92FB1" w:rsidP="00F312D5">
      <w:pPr>
        <w:spacing w:line="360" w:lineRule="auto"/>
        <w:ind w:firstLineChars="200" w:firstLine="420"/>
        <w:rPr>
          <w:rFonts w:ascii="宋体" w:hAnsi="宋体"/>
          <w:szCs w:val="21"/>
        </w:rPr>
      </w:pPr>
      <w:r w:rsidRPr="00C92FB1">
        <w:rPr>
          <w:rFonts w:ascii="宋体" w:hAnsi="宋体" w:hint="eastAsia"/>
          <w:szCs w:val="21"/>
        </w:rPr>
        <w:t>本基金为</w:t>
      </w:r>
      <w:r w:rsidR="00917349" w:rsidRPr="00917349">
        <w:rPr>
          <w:rFonts w:ascii="宋体" w:hAnsi="宋体" w:hint="eastAsia"/>
          <w:szCs w:val="21"/>
        </w:rPr>
        <w:t>南方</w:t>
      </w:r>
      <w:r w:rsidR="000F5270">
        <w:rPr>
          <w:rFonts w:ascii="宋体" w:hAnsi="宋体" w:hint="eastAsia"/>
          <w:szCs w:val="21"/>
        </w:rPr>
        <w:t>{{指数名称}}</w:t>
      </w:r>
      <w:r w:rsidR="00917349">
        <w:rPr>
          <w:rFonts w:ascii="宋体" w:hAnsi="宋体" w:hint="eastAsia"/>
          <w:szCs w:val="21"/>
        </w:rPr>
        <w:t>E</w:t>
      </w:r>
      <w:r w:rsidR="00917349">
        <w:rPr>
          <w:rFonts w:ascii="宋体" w:hAnsi="宋体"/>
          <w:szCs w:val="21"/>
        </w:rPr>
        <w:t>TF</w:t>
      </w:r>
      <w:r w:rsidRPr="00C92FB1">
        <w:rPr>
          <w:rFonts w:ascii="宋体" w:hAnsi="宋体" w:hint="eastAsia"/>
          <w:szCs w:val="21"/>
        </w:rPr>
        <w:t>的联接基金。</w:t>
      </w:r>
    </w:p>
    <w:p w14:paraId="7A90681F" w14:textId="379F04A7" w:rsidR="00C92FB1" w:rsidRPr="00C92FB1" w:rsidRDefault="00C92FB1" w:rsidP="00F312D5">
      <w:pPr>
        <w:spacing w:line="360" w:lineRule="auto"/>
        <w:ind w:firstLineChars="200" w:firstLine="420"/>
        <w:rPr>
          <w:rFonts w:ascii="宋体" w:hAnsi="宋体"/>
          <w:szCs w:val="21"/>
        </w:rPr>
      </w:pPr>
      <w:r w:rsidRPr="00C92FB1">
        <w:rPr>
          <w:rFonts w:ascii="宋体" w:hAnsi="宋体" w:hint="eastAsia"/>
          <w:szCs w:val="21"/>
        </w:rPr>
        <w:t>本基金的标的指数为</w:t>
      </w:r>
      <w:r w:rsidR="000F5270">
        <w:rPr>
          <w:rFonts w:ascii="宋体" w:hAnsi="宋体" w:hint="eastAsia"/>
          <w:szCs w:val="21"/>
        </w:rPr>
        <w:t>{{指数名称}}</w:t>
      </w:r>
      <w:r w:rsidR="00917349">
        <w:rPr>
          <w:rFonts w:ascii="宋体" w:hAnsi="宋体" w:hint="eastAsia"/>
          <w:szCs w:val="21"/>
        </w:rPr>
        <w:t>指数</w:t>
      </w:r>
      <w:r w:rsidRPr="00C92FB1">
        <w:rPr>
          <w:rFonts w:ascii="宋体" w:hAnsi="宋体" w:hint="eastAsia"/>
          <w:szCs w:val="21"/>
        </w:rPr>
        <w:t>，</w:t>
      </w:r>
      <w:r w:rsidR="000F5270">
        <w:rPr>
          <w:rFonts w:ascii="宋体" w:hAnsi="宋体" w:hint="eastAsia"/>
          <w:szCs w:val="21"/>
        </w:rPr>
        <w:t>{{指数名称}}</w:t>
      </w:r>
      <w:r w:rsidR="00A742C5" w:rsidRPr="00A742C5">
        <w:rPr>
          <w:rFonts w:ascii="宋体" w:hAnsi="宋体" w:hint="eastAsia"/>
          <w:szCs w:val="21"/>
        </w:rPr>
        <w:t>指数</w:t>
      </w:r>
      <w:r w:rsidR="000F5270">
        <w:rPr>
          <w:rFonts w:ascii="宋体" w:hAnsi="宋体" w:hint="eastAsia"/>
          <w:szCs w:val="21"/>
        </w:rPr>
        <w:t>{{指数简介}}</w:t>
      </w:r>
      <w:r w:rsidR="00A742C5" w:rsidRPr="00A742C5">
        <w:rPr>
          <w:rFonts w:ascii="宋体" w:hAnsi="宋体" w:hint="eastAsia"/>
          <w:szCs w:val="21"/>
        </w:rPr>
        <w:t>。</w:t>
      </w:r>
      <w:r w:rsidR="000F5270">
        <w:rPr>
          <w:rFonts w:ascii="宋体" w:hAnsi="宋体" w:hint="eastAsia"/>
          <w:szCs w:val="21"/>
        </w:rPr>
        <w:t>{{投资价值</w:t>
      </w:r>
      <w:r w:rsidR="00CD76BE">
        <w:rPr>
          <w:rFonts w:ascii="宋体" w:hAnsi="宋体" w:hint="eastAsia"/>
          <w:szCs w:val="21"/>
        </w:rPr>
        <w:t>分析</w:t>
      </w:r>
      <w:r w:rsidR="000F5270">
        <w:rPr>
          <w:rFonts w:ascii="宋体" w:hAnsi="宋体" w:hint="eastAsia"/>
          <w:szCs w:val="21"/>
        </w:rPr>
        <w:t>}}</w:t>
      </w:r>
    </w:p>
    <w:p w14:paraId="6EA7E507" w14:textId="77777777" w:rsidR="004D6499" w:rsidRPr="008B5FC5" w:rsidRDefault="004D6499" w:rsidP="00C8397D">
      <w:pPr>
        <w:adjustRightInd w:val="0"/>
        <w:snapToGrid w:val="0"/>
        <w:spacing w:line="360" w:lineRule="auto"/>
        <w:ind w:firstLineChars="200" w:firstLine="400"/>
        <w:rPr>
          <w:rFonts w:ascii="宋体" w:hAnsi="宋体"/>
          <w:sz w:val="20"/>
          <w:szCs w:val="20"/>
        </w:rPr>
      </w:pPr>
    </w:p>
    <w:p w14:paraId="3A0A2073" w14:textId="77777777" w:rsidR="0089087F" w:rsidRPr="004D6499" w:rsidRDefault="004D6499" w:rsidP="004D6499">
      <w:pPr>
        <w:snapToGrid w:val="0"/>
        <w:spacing w:line="360" w:lineRule="auto"/>
        <w:ind w:firstLineChars="200" w:firstLine="422"/>
        <w:outlineLvl w:val="0"/>
        <w:rPr>
          <w:rFonts w:ascii="宋体" w:hAnsi="宋体"/>
          <w:b/>
        </w:rPr>
      </w:pPr>
      <w:r w:rsidRPr="004D6499">
        <w:rPr>
          <w:rFonts w:ascii="宋体" w:hAnsi="宋体" w:hint="eastAsia"/>
          <w:b/>
        </w:rPr>
        <w:t>二</w:t>
      </w:r>
      <w:r w:rsidR="0089087F" w:rsidRPr="004D6499">
        <w:rPr>
          <w:rFonts w:ascii="宋体" w:hAnsi="宋体" w:hint="eastAsia"/>
          <w:b/>
        </w:rPr>
        <w:t>、基本情况</w:t>
      </w:r>
    </w:p>
    <w:p w14:paraId="318BACA0" w14:textId="4E4C04D6" w:rsidR="00B40865" w:rsidRPr="004D6499" w:rsidRDefault="0089087F" w:rsidP="004D6499">
      <w:pPr>
        <w:spacing w:line="360" w:lineRule="auto"/>
        <w:ind w:firstLineChars="200" w:firstLine="420"/>
        <w:rPr>
          <w:rFonts w:ascii="宋体" w:hAnsi="宋体"/>
          <w:szCs w:val="21"/>
        </w:rPr>
      </w:pPr>
      <w:r w:rsidRPr="004D6499">
        <w:rPr>
          <w:rFonts w:ascii="宋体" w:hAnsi="宋体" w:hint="eastAsia"/>
          <w:szCs w:val="21"/>
        </w:rPr>
        <w:t>（一）基金名称</w:t>
      </w:r>
      <w:bookmarkStart w:id="0" w:name="OLE_LINK3"/>
      <w:bookmarkStart w:id="1" w:name="OLE_LINK4"/>
      <w:r w:rsidR="00B70732">
        <w:rPr>
          <w:rFonts w:ascii="宋体" w:hAnsi="宋体" w:hint="eastAsia"/>
          <w:szCs w:val="21"/>
        </w:rPr>
        <w:t>：</w:t>
      </w:r>
      <w:r w:rsidR="00013A31">
        <w:rPr>
          <w:rFonts w:ascii="宋体" w:hAnsi="宋体" w:hint="eastAsia"/>
          <w:szCs w:val="21"/>
        </w:rPr>
        <w:t>南方</w:t>
      </w:r>
      <w:r w:rsidR="000F5270">
        <w:rPr>
          <w:rFonts w:ascii="宋体" w:hAnsi="宋体" w:hint="eastAsia"/>
          <w:szCs w:val="21"/>
        </w:rPr>
        <w:t>{{指数名称}}</w:t>
      </w:r>
      <w:r w:rsidR="00013A31">
        <w:rPr>
          <w:rFonts w:ascii="宋体" w:hAnsi="宋体" w:hint="eastAsia"/>
          <w:szCs w:val="21"/>
        </w:rPr>
        <w:t>交易型开放式指数证券投资基金</w:t>
      </w:r>
      <w:r w:rsidR="00DF2CE7">
        <w:rPr>
          <w:rFonts w:ascii="宋体" w:hAnsi="宋体" w:hint="eastAsia"/>
          <w:szCs w:val="21"/>
        </w:rPr>
        <w:t>发起式</w:t>
      </w:r>
      <w:r w:rsidR="00013A31">
        <w:rPr>
          <w:rFonts w:ascii="宋体" w:hAnsi="宋体" w:hint="eastAsia"/>
          <w:szCs w:val="21"/>
        </w:rPr>
        <w:t>联接基金</w:t>
      </w:r>
    </w:p>
    <w:bookmarkEnd w:id="0"/>
    <w:bookmarkEnd w:id="1"/>
    <w:p w14:paraId="566A4F97" w14:textId="2DB39968" w:rsidR="0006098F" w:rsidRPr="004D6499" w:rsidRDefault="00760C6F" w:rsidP="004D6499">
      <w:pPr>
        <w:spacing w:line="360" w:lineRule="auto"/>
        <w:ind w:firstLineChars="200" w:firstLine="420"/>
        <w:rPr>
          <w:rFonts w:ascii="宋体" w:hAnsi="宋体"/>
          <w:szCs w:val="21"/>
        </w:rPr>
      </w:pPr>
      <w:r w:rsidRPr="004D6499">
        <w:rPr>
          <w:rFonts w:ascii="宋体" w:hAnsi="宋体" w:hint="eastAsia"/>
          <w:szCs w:val="21"/>
        </w:rPr>
        <w:t>（二</w:t>
      </w:r>
      <w:r w:rsidRPr="004D6499">
        <w:rPr>
          <w:rFonts w:ascii="宋体" w:hAnsi="宋体"/>
          <w:szCs w:val="21"/>
        </w:rPr>
        <w:t>）</w:t>
      </w:r>
      <w:r w:rsidR="0006098F" w:rsidRPr="004D6499">
        <w:rPr>
          <w:rFonts w:ascii="宋体" w:hAnsi="宋体" w:hint="eastAsia"/>
          <w:szCs w:val="21"/>
        </w:rPr>
        <w:t>基金</w:t>
      </w:r>
      <w:r w:rsidR="0006098F" w:rsidRPr="004D6499">
        <w:rPr>
          <w:rFonts w:ascii="宋体" w:hAnsi="宋体"/>
          <w:szCs w:val="21"/>
        </w:rPr>
        <w:t>类型</w:t>
      </w:r>
      <w:r w:rsidR="004D6499">
        <w:rPr>
          <w:rFonts w:ascii="宋体" w:hAnsi="宋体" w:hint="eastAsia"/>
          <w:szCs w:val="21"/>
        </w:rPr>
        <w:t>：</w:t>
      </w:r>
      <w:r w:rsidR="00C81BAA" w:rsidRPr="004D6499">
        <w:rPr>
          <w:rFonts w:ascii="宋体" w:hAnsi="宋体" w:hint="eastAsia"/>
          <w:szCs w:val="21"/>
        </w:rPr>
        <w:t>股票型证券投资基金</w:t>
      </w:r>
      <w:r w:rsidR="00D803B5" w:rsidRPr="004D6499">
        <w:rPr>
          <w:rFonts w:ascii="宋体" w:hAnsi="宋体" w:hint="eastAsia"/>
          <w:szCs w:val="21"/>
        </w:rPr>
        <w:t>、联接基金</w:t>
      </w:r>
      <w:r w:rsidR="000F5270">
        <w:rPr>
          <w:rFonts w:ascii="宋体" w:hAnsi="宋体" w:hint="eastAsia"/>
          <w:szCs w:val="21"/>
        </w:rPr>
        <w:t>、发起式</w:t>
      </w:r>
    </w:p>
    <w:p w14:paraId="477C290C" w14:textId="77777777" w:rsidR="00943AB4" w:rsidRPr="004D6499" w:rsidRDefault="0089087F" w:rsidP="004D6499">
      <w:pPr>
        <w:spacing w:line="360" w:lineRule="auto"/>
        <w:ind w:firstLineChars="200" w:firstLine="420"/>
        <w:rPr>
          <w:rFonts w:ascii="宋体" w:hAnsi="宋体"/>
          <w:szCs w:val="21"/>
        </w:rPr>
      </w:pPr>
      <w:r w:rsidRPr="004D6499">
        <w:rPr>
          <w:rFonts w:ascii="宋体" w:hAnsi="宋体" w:hint="eastAsia"/>
          <w:szCs w:val="21"/>
        </w:rPr>
        <w:t>（</w:t>
      </w:r>
      <w:r w:rsidR="00760C6F" w:rsidRPr="004D6499">
        <w:rPr>
          <w:rFonts w:ascii="宋体" w:hAnsi="宋体" w:hint="eastAsia"/>
          <w:szCs w:val="21"/>
        </w:rPr>
        <w:t>三</w:t>
      </w:r>
      <w:r w:rsidRPr="004D6499">
        <w:rPr>
          <w:rFonts w:ascii="宋体" w:hAnsi="宋体" w:hint="eastAsia"/>
          <w:szCs w:val="21"/>
        </w:rPr>
        <w:t>）运作方式</w:t>
      </w:r>
      <w:r w:rsidR="004D6499">
        <w:rPr>
          <w:rFonts w:ascii="宋体" w:hAnsi="宋体" w:hint="eastAsia"/>
          <w:szCs w:val="21"/>
        </w:rPr>
        <w:t>：</w:t>
      </w:r>
      <w:r w:rsidR="00943AB4" w:rsidRPr="004D6499">
        <w:rPr>
          <w:rFonts w:ascii="宋体" w:hAnsi="宋体" w:hint="eastAsia"/>
          <w:szCs w:val="21"/>
        </w:rPr>
        <w:t>契约型开放式</w:t>
      </w:r>
    </w:p>
    <w:p w14:paraId="5278E134" w14:textId="623F55D0" w:rsidR="004C3FA1" w:rsidRDefault="00747B37" w:rsidP="004D6499">
      <w:pPr>
        <w:spacing w:line="360" w:lineRule="auto"/>
        <w:ind w:firstLineChars="200" w:firstLine="420"/>
        <w:rPr>
          <w:rFonts w:ascii="宋体" w:hAnsi="宋体"/>
          <w:szCs w:val="21"/>
        </w:rPr>
      </w:pPr>
      <w:r w:rsidRPr="004D6499">
        <w:rPr>
          <w:rFonts w:ascii="宋体" w:hAnsi="宋体" w:hint="eastAsia"/>
          <w:szCs w:val="21"/>
        </w:rPr>
        <w:t>（四）</w:t>
      </w:r>
      <w:r w:rsidR="004C3FA1" w:rsidRPr="004C3FA1">
        <w:rPr>
          <w:rFonts w:ascii="宋体" w:hAnsi="宋体" w:hint="eastAsia"/>
          <w:szCs w:val="21"/>
        </w:rPr>
        <w:t>标的指数：</w:t>
      </w:r>
      <w:r w:rsidR="000F5270">
        <w:rPr>
          <w:rFonts w:ascii="宋体" w:hAnsi="宋体" w:hint="eastAsia"/>
          <w:szCs w:val="21"/>
        </w:rPr>
        <w:t>{{指数名称}}</w:t>
      </w:r>
      <w:r w:rsidR="00917349">
        <w:rPr>
          <w:rFonts w:ascii="宋体" w:hAnsi="宋体" w:hint="eastAsia"/>
          <w:szCs w:val="21"/>
        </w:rPr>
        <w:t>指数</w:t>
      </w:r>
    </w:p>
    <w:p w14:paraId="013F9F5C" w14:textId="22EAA376" w:rsidR="00A33FC8" w:rsidRPr="004D6499" w:rsidRDefault="004C3FA1" w:rsidP="004D6499">
      <w:pPr>
        <w:spacing w:line="360" w:lineRule="auto"/>
        <w:ind w:firstLineChars="200" w:firstLine="420"/>
        <w:rPr>
          <w:rFonts w:ascii="宋体" w:hAnsi="宋体"/>
          <w:szCs w:val="21"/>
        </w:rPr>
      </w:pPr>
      <w:r>
        <w:rPr>
          <w:rFonts w:ascii="宋体" w:hAnsi="宋体" w:hint="eastAsia"/>
          <w:szCs w:val="21"/>
        </w:rPr>
        <w:t>（五）</w:t>
      </w:r>
      <w:r w:rsidR="00747B37" w:rsidRPr="004D6499">
        <w:rPr>
          <w:rFonts w:ascii="宋体" w:hAnsi="宋体" w:hint="eastAsia"/>
          <w:szCs w:val="21"/>
        </w:rPr>
        <w:t>登记机构</w:t>
      </w:r>
      <w:r w:rsidR="004D6499">
        <w:rPr>
          <w:rFonts w:ascii="宋体" w:hAnsi="宋体" w:hint="eastAsia"/>
          <w:szCs w:val="21"/>
        </w:rPr>
        <w:t>：</w:t>
      </w:r>
      <w:r w:rsidR="00747B37" w:rsidRPr="004D6499">
        <w:rPr>
          <w:rFonts w:ascii="宋体" w:hAnsi="宋体" w:hint="eastAsia"/>
          <w:szCs w:val="21"/>
        </w:rPr>
        <w:t>自建TA</w:t>
      </w:r>
    </w:p>
    <w:p w14:paraId="00D1326A" w14:textId="33BA2F35" w:rsidR="002E2557" w:rsidRPr="004D6499" w:rsidRDefault="006C6FCA" w:rsidP="004D6499">
      <w:pPr>
        <w:spacing w:line="360" w:lineRule="auto"/>
        <w:ind w:firstLineChars="200" w:firstLine="420"/>
        <w:rPr>
          <w:rFonts w:ascii="宋体" w:hAnsi="宋体"/>
          <w:szCs w:val="21"/>
        </w:rPr>
      </w:pPr>
      <w:r w:rsidRPr="004D6499">
        <w:rPr>
          <w:rFonts w:ascii="宋体" w:hAnsi="宋体" w:hint="eastAsia"/>
          <w:szCs w:val="21"/>
        </w:rPr>
        <w:t>（</w:t>
      </w:r>
      <w:r w:rsidR="004C3FA1">
        <w:rPr>
          <w:rFonts w:ascii="宋体" w:hAnsi="宋体" w:hint="eastAsia"/>
          <w:szCs w:val="21"/>
        </w:rPr>
        <w:t>六</w:t>
      </w:r>
      <w:r w:rsidR="00EF0542" w:rsidRPr="004D6499">
        <w:rPr>
          <w:rFonts w:ascii="宋体" w:hAnsi="宋体" w:hint="eastAsia"/>
          <w:szCs w:val="21"/>
        </w:rPr>
        <w:t>）托管</w:t>
      </w:r>
      <w:r w:rsidR="00CD76BE">
        <w:rPr>
          <w:rFonts w:ascii="宋体" w:hAnsi="宋体" w:hint="eastAsia"/>
          <w:szCs w:val="21"/>
        </w:rPr>
        <w:t>人</w:t>
      </w:r>
      <w:bookmarkStart w:id="2" w:name="_GoBack"/>
      <w:bookmarkEnd w:id="2"/>
      <w:r w:rsidR="004D6499">
        <w:rPr>
          <w:rFonts w:ascii="宋体" w:hAnsi="宋体" w:hint="eastAsia"/>
          <w:szCs w:val="21"/>
        </w:rPr>
        <w:t>：</w:t>
      </w:r>
      <w:r w:rsidR="00CD76BE">
        <w:rPr>
          <w:rFonts w:ascii="宋体" w:hAnsi="宋体" w:hint="eastAsia"/>
          <w:szCs w:val="21"/>
        </w:rPr>
        <w:t>{{托管人名称}}</w:t>
      </w:r>
    </w:p>
    <w:p w14:paraId="5AE5FECE" w14:textId="553E2A28" w:rsidR="009C440D" w:rsidRDefault="00802BCF" w:rsidP="009C440D">
      <w:pPr>
        <w:spacing w:line="360" w:lineRule="auto"/>
        <w:ind w:firstLineChars="200" w:firstLine="420"/>
        <w:rPr>
          <w:rFonts w:ascii="宋体" w:hAnsi="宋体"/>
          <w:szCs w:val="21"/>
        </w:rPr>
      </w:pPr>
      <w:r w:rsidRPr="004D6499">
        <w:rPr>
          <w:rFonts w:ascii="宋体" w:hAnsi="宋体" w:hint="eastAsia"/>
          <w:szCs w:val="21"/>
        </w:rPr>
        <w:t>（</w:t>
      </w:r>
      <w:r w:rsidR="004C3FA1">
        <w:rPr>
          <w:rFonts w:ascii="宋体" w:hAnsi="宋体" w:hint="eastAsia"/>
          <w:szCs w:val="21"/>
        </w:rPr>
        <w:t>七</w:t>
      </w:r>
      <w:r w:rsidRPr="004D6499">
        <w:rPr>
          <w:rFonts w:ascii="宋体" w:hAnsi="宋体" w:hint="eastAsia"/>
          <w:szCs w:val="21"/>
        </w:rPr>
        <w:t>）份额设置</w:t>
      </w:r>
      <w:r w:rsidR="004D6499">
        <w:rPr>
          <w:rFonts w:ascii="宋体" w:hAnsi="宋体" w:hint="eastAsia"/>
          <w:szCs w:val="21"/>
        </w:rPr>
        <w:t>：</w:t>
      </w:r>
      <w:r w:rsidRPr="004D6499">
        <w:rPr>
          <w:rFonts w:ascii="宋体" w:hAnsi="宋体" w:hint="eastAsia"/>
          <w:szCs w:val="21"/>
        </w:rPr>
        <w:t>A类、C类</w:t>
      </w:r>
    </w:p>
    <w:p w14:paraId="17641DA4" w14:textId="77777777" w:rsidR="004D6499" w:rsidRPr="004D6499" w:rsidRDefault="004D6499" w:rsidP="004D6499">
      <w:pPr>
        <w:spacing w:line="360" w:lineRule="auto"/>
        <w:ind w:firstLineChars="200" w:firstLine="420"/>
        <w:rPr>
          <w:rFonts w:ascii="宋体" w:hAnsi="宋体"/>
          <w:szCs w:val="21"/>
        </w:rPr>
      </w:pPr>
    </w:p>
    <w:p w14:paraId="76D1EBC6" w14:textId="77777777" w:rsidR="004D6499" w:rsidRPr="00E70A05" w:rsidRDefault="004D6499" w:rsidP="004D6499">
      <w:pPr>
        <w:snapToGrid w:val="0"/>
        <w:spacing w:line="360" w:lineRule="auto"/>
        <w:ind w:firstLineChars="200" w:firstLine="422"/>
        <w:outlineLvl w:val="0"/>
        <w:rPr>
          <w:rFonts w:ascii="宋体" w:hAnsi="宋体"/>
          <w:b/>
        </w:rPr>
      </w:pPr>
      <w:r w:rsidRPr="00664DD6">
        <w:rPr>
          <w:rFonts w:ascii="宋体" w:hAnsi="宋体" w:hint="eastAsia"/>
          <w:b/>
        </w:rPr>
        <w:t>三、基金费率</w:t>
      </w:r>
    </w:p>
    <w:p w14:paraId="6E4F0AE8" w14:textId="7CF35420" w:rsidR="004D6499" w:rsidRPr="006E7A28" w:rsidRDefault="004C3FA1" w:rsidP="004D6499">
      <w:pPr>
        <w:spacing w:line="360" w:lineRule="auto"/>
        <w:ind w:firstLineChars="200" w:firstLine="420"/>
        <w:rPr>
          <w:rFonts w:ascii="宋体" w:hAnsi="宋体"/>
          <w:szCs w:val="21"/>
        </w:rPr>
      </w:pPr>
      <w:r>
        <w:rPr>
          <w:rFonts w:ascii="宋体" w:hAnsi="宋体" w:hint="eastAsia"/>
          <w:szCs w:val="21"/>
        </w:rPr>
        <w:t>1、</w:t>
      </w:r>
      <w:r w:rsidR="004D6499" w:rsidRPr="006E7A28">
        <w:rPr>
          <w:rFonts w:ascii="宋体" w:hAnsi="宋体" w:hint="eastAsia"/>
          <w:szCs w:val="21"/>
        </w:rPr>
        <w:t>管理费：</w:t>
      </w:r>
      <w:r w:rsidR="00D803B5" w:rsidRPr="00D803B5">
        <w:rPr>
          <w:rFonts w:ascii="宋体" w:hAnsi="宋体" w:hint="eastAsia"/>
          <w:szCs w:val="21"/>
        </w:rPr>
        <w:t>本基金管理费按前一日基金资产净值扣除所持有ETF基金份额部分的基金资产后的余额（若为负数，则取0）的</w:t>
      </w:r>
      <w:r w:rsidR="000F5270">
        <w:rPr>
          <w:rFonts w:ascii="宋体" w:hAnsi="宋体" w:hint="eastAsia"/>
          <w:szCs w:val="21"/>
        </w:rPr>
        <w:t>{{管理费率}}</w:t>
      </w:r>
      <w:r w:rsidR="00C92FB1" w:rsidRPr="001D4604">
        <w:rPr>
          <w:rFonts w:ascii="宋体" w:hAnsi="宋体"/>
          <w:b/>
          <w:szCs w:val="21"/>
        </w:rPr>
        <w:t>%</w:t>
      </w:r>
      <w:r w:rsidR="00D803B5" w:rsidRPr="00D803B5">
        <w:rPr>
          <w:rFonts w:ascii="宋体" w:hAnsi="宋体" w:hint="eastAsia"/>
          <w:szCs w:val="21"/>
        </w:rPr>
        <w:t>年费率计提。</w:t>
      </w:r>
    </w:p>
    <w:p w14:paraId="69624969" w14:textId="007A4DE8" w:rsidR="004D6499" w:rsidRPr="006E7A28" w:rsidRDefault="004C3FA1" w:rsidP="004D6499">
      <w:pPr>
        <w:spacing w:line="360" w:lineRule="auto"/>
        <w:ind w:firstLineChars="200" w:firstLine="420"/>
        <w:rPr>
          <w:rFonts w:ascii="宋体" w:hAnsi="宋体"/>
          <w:szCs w:val="21"/>
        </w:rPr>
      </w:pPr>
      <w:r>
        <w:rPr>
          <w:rFonts w:ascii="宋体" w:hAnsi="宋体" w:hint="eastAsia"/>
          <w:szCs w:val="21"/>
        </w:rPr>
        <w:t>2、</w:t>
      </w:r>
      <w:r w:rsidR="004D6499" w:rsidRPr="006E7A28">
        <w:rPr>
          <w:rFonts w:ascii="宋体" w:hAnsi="宋体" w:hint="eastAsia"/>
          <w:szCs w:val="21"/>
        </w:rPr>
        <w:t>托管费：</w:t>
      </w:r>
      <w:r w:rsidR="00D803B5" w:rsidRPr="00D803B5">
        <w:rPr>
          <w:rFonts w:ascii="宋体" w:hAnsi="宋体" w:hint="eastAsia"/>
          <w:szCs w:val="21"/>
        </w:rPr>
        <w:t>本基金托管费按前一日基金资产净值扣除所持有ETF基金份额部分的基金资产后的余额（若为负数，则取0）的</w:t>
      </w:r>
      <w:r w:rsidR="000F5270">
        <w:rPr>
          <w:rFonts w:ascii="宋体" w:hAnsi="宋体" w:hint="eastAsia"/>
          <w:szCs w:val="21"/>
        </w:rPr>
        <w:t>{{托管费率}}</w:t>
      </w:r>
      <w:r w:rsidR="00C92FB1" w:rsidRPr="001D4604">
        <w:rPr>
          <w:rFonts w:ascii="宋体" w:hAnsi="宋体"/>
          <w:b/>
          <w:szCs w:val="21"/>
        </w:rPr>
        <w:t>%</w:t>
      </w:r>
      <w:r w:rsidR="00D803B5" w:rsidRPr="00D803B5">
        <w:rPr>
          <w:rFonts w:ascii="宋体" w:hAnsi="宋体" w:hint="eastAsia"/>
          <w:szCs w:val="21"/>
        </w:rPr>
        <w:t>年费率计提。</w:t>
      </w:r>
      <w:r w:rsidR="003D3926" w:rsidRPr="004D6499" w:rsidDel="003D3926">
        <w:rPr>
          <w:rFonts w:ascii="宋体" w:hAnsi="宋体" w:hint="eastAsia"/>
          <w:szCs w:val="21"/>
        </w:rPr>
        <w:t xml:space="preserve"> </w:t>
      </w:r>
    </w:p>
    <w:p w14:paraId="6CFB801F"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3、认/申购费</w:t>
      </w:r>
    </w:p>
    <w:p w14:paraId="076F26D1" w14:textId="77777777" w:rsidR="00DF2CE7" w:rsidRPr="00DF2CE7" w:rsidRDefault="00DF2CE7" w:rsidP="00DF2CE7">
      <w:pPr>
        <w:snapToGrid w:val="0"/>
        <w:spacing w:line="360" w:lineRule="auto"/>
        <w:ind w:firstLineChars="200" w:firstLine="420"/>
        <w:rPr>
          <w:rFonts w:ascii="Times New Roman" w:hAnsi="Times New Roman"/>
          <w:szCs w:val="21"/>
        </w:rPr>
      </w:pPr>
      <w:r w:rsidRPr="00DF2CE7">
        <w:rPr>
          <w:rFonts w:ascii="Times New Roman" w:hAnsi="Times New Roman" w:cs="宋体" w:hint="eastAsia"/>
          <w:szCs w:val="21"/>
        </w:rPr>
        <w:t>通过直销机构</w:t>
      </w:r>
      <w:r w:rsidRPr="00DF2CE7">
        <w:rPr>
          <w:rFonts w:ascii="Times New Roman" w:hAnsi="Times New Roman" w:cs="宋体"/>
          <w:szCs w:val="21"/>
        </w:rPr>
        <w:t>认</w:t>
      </w:r>
      <w:r w:rsidRPr="00DF2CE7">
        <w:rPr>
          <w:rFonts w:ascii="Times New Roman" w:hAnsi="Times New Roman" w:cs="宋体"/>
          <w:szCs w:val="21"/>
        </w:rPr>
        <w:t>/</w:t>
      </w:r>
      <w:r w:rsidRPr="00DF2CE7">
        <w:rPr>
          <w:rFonts w:ascii="Times New Roman" w:hAnsi="Times New Roman" w:cs="宋体"/>
          <w:szCs w:val="21"/>
        </w:rPr>
        <w:t>申</w:t>
      </w:r>
      <w:r w:rsidRPr="00DF2CE7">
        <w:rPr>
          <w:rFonts w:ascii="Times New Roman" w:hAnsi="Times New Roman" w:cs="宋体" w:hint="eastAsia"/>
          <w:szCs w:val="21"/>
        </w:rPr>
        <w:t>购本基金</w:t>
      </w:r>
      <w:r w:rsidRPr="00DF2CE7">
        <w:rPr>
          <w:rFonts w:ascii="Times New Roman" w:hAnsi="Times New Roman" w:cs="宋体" w:hint="eastAsia"/>
          <w:szCs w:val="21"/>
        </w:rPr>
        <w:t>A</w:t>
      </w:r>
      <w:r w:rsidRPr="00DF2CE7">
        <w:rPr>
          <w:rFonts w:ascii="Times New Roman" w:hAnsi="Times New Roman" w:cs="宋体" w:hint="eastAsia"/>
          <w:szCs w:val="21"/>
        </w:rPr>
        <w:t>类基金份额不收取</w:t>
      </w:r>
      <w:r w:rsidRPr="00DF2CE7">
        <w:rPr>
          <w:rFonts w:ascii="Times New Roman" w:hAnsi="Times New Roman" w:cs="宋体"/>
          <w:szCs w:val="21"/>
        </w:rPr>
        <w:t>认</w:t>
      </w:r>
      <w:r w:rsidRPr="00DF2CE7">
        <w:rPr>
          <w:rFonts w:ascii="Times New Roman" w:hAnsi="Times New Roman" w:cs="宋体"/>
          <w:szCs w:val="21"/>
        </w:rPr>
        <w:t>/</w:t>
      </w:r>
      <w:r w:rsidRPr="00DF2CE7">
        <w:rPr>
          <w:rFonts w:ascii="Times New Roman" w:hAnsi="Times New Roman" w:cs="宋体"/>
          <w:szCs w:val="21"/>
        </w:rPr>
        <w:t>申</w:t>
      </w:r>
      <w:r w:rsidRPr="00DF2CE7">
        <w:rPr>
          <w:rFonts w:ascii="Times New Roman" w:hAnsi="Times New Roman" w:cs="宋体" w:hint="eastAsia"/>
          <w:szCs w:val="21"/>
        </w:rPr>
        <w:t>购费。通过其他销售机构</w:t>
      </w:r>
      <w:r w:rsidRPr="00DF2CE7">
        <w:rPr>
          <w:rFonts w:ascii="Times New Roman" w:hAnsi="Times New Roman" w:cs="宋体"/>
          <w:szCs w:val="21"/>
        </w:rPr>
        <w:t>认</w:t>
      </w:r>
      <w:r w:rsidRPr="00DF2CE7">
        <w:rPr>
          <w:rFonts w:ascii="Times New Roman" w:hAnsi="Times New Roman" w:cs="宋体"/>
          <w:szCs w:val="21"/>
        </w:rPr>
        <w:t>/</w:t>
      </w:r>
      <w:r w:rsidRPr="00DF2CE7">
        <w:rPr>
          <w:rFonts w:ascii="Times New Roman" w:hAnsi="Times New Roman" w:cs="宋体"/>
          <w:szCs w:val="21"/>
        </w:rPr>
        <w:t>申</w:t>
      </w:r>
      <w:r w:rsidRPr="00DF2CE7">
        <w:rPr>
          <w:rFonts w:ascii="Times New Roman" w:hAnsi="Times New Roman" w:cs="宋体" w:hint="eastAsia"/>
          <w:szCs w:val="21"/>
        </w:rPr>
        <w:t>购</w:t>
      </w:r>
      <w:r w:rsidRPr="00DF2CE7">
        <w:rPr>
          <w:rFonts w:ascii="Times New Roman" w:hAnsi="Times New Roman" w:cs="宋体" w:hint="eastAsia"/>
          <w:szCs w:val="21"/>
        </w:rPr>
        <w:t>A</w:t>
      </w:r>
      <w:r w:rsidRPr="00DF2CE7">
        <w:rPr>
          <w:rFonts w:ascii="Times New Roman" w:hAnsi="Times New Roman" w:cs="宋体" w:hint="eastAsia"/>
          <w:szCs w:val="21"/>
        </w:rPr>
        <w:t>类基金份额的，</w:t>
      </w:r>
      <w:r w:rsidRPr="00DF2CE7">
        <w:rPr>
          <w:rFonts w:ascii="Times New Roman" w:hAnsi="Times New Roman" w:cs="宋体"/>
          <w:szCs w:val="21"/>
        </w:rPr>
        <w:t>认</w:t>
      </w:r>
      <w:r w:rsidRPr="00DF2CE7">
        <w:rPr>
          <w:rFonts w:ascii="Times New Roman" w:hAnsi="Times New Roman" w:cs="宋体"/>
          <w:szCs w:val="21"/>
        </w:rPr>
        <w:t>/</w:t>
      </w:r>
      <w:r w:rsidRPr="00DF2CE7">
        <w:rPr>
          <w:rFonts w:ascii="Times New Roman" w:hAnsi="Times New Roman" w:cs="宋体"/>
          <w:szCs w:val="21"/>
        </w:rPr>
        <w:t>申</w:t>
      </w:r>
      <w:r w:rsidRPr="00DF2CE7">
        <w:rPr>
          <w:rFonts w:ascii="Times New Roman" w:hAnsi="Times New Roman" w:cs="宋体" w:hint="eastAsia"/>
          <w:szCs w:val="21"/>
        </w:rPr>
        <w:t>购费率最高不高于</w:t>
      </w:r>
      <w:r w:rsidRPr="00DF2CE7">
        <w:rPr>
          <w:rFonts w:ascii="Times New Roman" w:hAnsi="Times New Roman" w:cs="宋体" w:hint="eastAsia"/>
          <w:szCs w:val="21"/>
        </w:rPr>
        <w:t>0.3%</w:t>
      </w:r>
      <w:r w:rsidRPr="00DF2CE7">
        <w:rPr>
          <w:rFonts w:ascii="Times New Roman" w:hAnsi="Times New Roman" w:cs="宋体" w:hint="eastAsia"/>
          <w:szCs w:val="21"/>
        </w:rPr>
        <w:t>，如下表所示：</w:t>
      </w:r>
    </w:p>
    <w:tbl>
      <w:tblPr>
        <w:tblW w:w="7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3"/>
        <w:gridCol w:w="4019"/>
      </w:tblGrid>
      <w:tr w:rsidR="00DF2CE7" w:rsidRPr="00DF2CE7" w14:paraId="6F56FC76" w14:textId="77777777" w:rsidTr="002B406E">
        <w:trPr>
          <w:trHeight w:val="397"/>
          <w:jc w:val="center"/>
        </w:trPr>
        <w:tc>
          <w:tcPr>
            <w:tcW w:w="3433" w:type="dxa"/>
            <w:tcBorders>
              <w:top w:val="single" w:sz="4" w:space="0" w:color="auto"/>
              <w:left w:val="single" w:sz="4" w:space="0" w:color="auto"/>
              <w:bottom w:val="single" w:sz="4" w:space="0" w:color="auto"/>
              <w:right w:val="single" w:sz="4" w:space="0" w:color="auto"/>
            </w:tcBorders>
            <w:vAlign w:val="center"/>
          </w:tcPr>
          <w:p w14:paraId="4E30D5A6"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认</w:t>
            </w:r>
            <w:r w:rsidRPr="00DF2CE7">
              <w:rPr>
                <w:rFonts w:ascii="Times New Roman" w:hAnsi="Times New Roman"/>
                <w:szCs w:val="21"/>
              </w:rPr>
              <w:t>/</w:t>
            </w:r>
            <w:r w:rsidRPr="00DF2CE7">
              <w:rPr>
                <w:rFonts w:ascii="Times New Roman" w:hAnsi="Times New Roman"/>
                <w:szCs w:val="21"/>
              </w:rPr>
              <w:t>申</w:t>
            </w:r>
            <w:r w:rsidRPr="00DF2CE7">
              <w:rPr>
                <w:rFonts w:ascii="Times New Roman" w:hAnsi="Times New Roman" w:hint="eastAsia"/>
                <w:szCs w:val="21"/>
              </w:rPr>
              <w:t>购金额（</w:t>
            </w:r>
            <w:r w:rsidRPr="00DF2CE7">
              <w:rPr>
                <w:rFonts w:ascii="Times New Roman" w:hAnsi="Times New Roman" w:hint="eastAsia"/>
                <w:szCs w:val="21"/>
              </w:rPr>
              <w:t>M</w:t>
            </w:r>
            <w:r w:rsidRPr="00DF2CE7">
              <w:rPr>
                <w:rFonts w:ascii="Times New Roman" w:hAnsi="Times New Roman" w:hint="eastAsia"/>
                <w:szCs w:val="21"/>
              </w:rPr>
              <w:t>）</w:t>
            </w:r>
          </w:p>
        </w:tc>
        <w:tc>
          <w:tcPr>
            <w:tcW w:w="4019" w:type="dxa"/>
            <w:tcBorders>
              <w:top w:val="single" w:sz="4" w:space="0" w:color="auto"/>
              <w:left w:val="single" w:sz="4" w:space="0" w:color="auto"/>
              <w:bottom w:val="single" w:sz="4" w:space="0" w:color="auto"/>
              <w:right w:val="single" w:sz="4" w:space="0" w:color="auto"/>
            </w:tcBorders>
            <w:vAlign w:val="center"/>
          </w:tcPr>
          <w:p w14:paraId="42812436"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认</w:t>
            </w:r>
            <w:r w:rsidRPr="00DF2CE7">
              <w:rPr>
                <w:rFonts w:ascii="Times New Roman" w:hAnsi="Times New Roman"/>
                <w:szCs w:val="21"/>
              </w:rPr>
              <w:t>/</w:t>
            </w:r>
            <w:r w:rsidRPr="00DF2CE7">
              <w:rPr>
                <w:rFonts w:ascii="Times New Roman" w:hAnsi="Times New Roman"/>
                <w:szCs w:val="21"/>
              </w:rPr>
              <w:t>申</w:t>
            </w:r>
            <w:r w:rsidRPr="00DF2CE7">
              <w:rPr>
                <w:rFonts w:ascii="Times New Roman" w:hAnsi="Times New Roman" w:hint="eastAsia"/>
                <w:szCs w:val="21"/>
              </w:rPr>
              <w:t>购费率</w:t>
            </w:r>
          </w:p>
        </w:tc>
      </w:tr>
      <w:tr w:rsidR="00DF2CE7" w:rsidRPr="00DF2CE7" w14:paraId="6ED2E65E" w14:textId="77777777" w:rsidTr="002B406E">
        <w:trPr>
          <w:trHeight w:val="397"/>
          <w:jc w:val="center"/>
        </w:trPr>
        <w:tc>
          <w:tcPr>
            <w:tcW w:w="3433" w:type="dxa"/>
            <w:tcBorders>
              <w:top w:val="single" w:sz="4" w:space="0" w:color="auto"/>
              <w:left w:val="single" w:sz="4" w:space="0" w:color="auto"/>
              <w:bottom w:val="single" w:sz="4" w:space="0" w:color="auto"/>
              <w:right w:val="single" w:sz="4" w:space="0" w:color="auto"/>
            </w:tcBorders>
            <w:vAlign w:val="center"/>
          </w:tcPr>
          <w:p w14:paraId="77203AB1"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hint="eastAsia"/>
                <w:szCs w:val="21"/>
              </w:rPr>
              <w:t>M</w:t>
            </w:r>
            <w:r w:rsidRPr="00DF2CE7">
              <w:rPr>
                <w:rFonts w:ascii="Times New Roman" w:hAnsi="Times New Roman" w:hint="eastAsia"/>
                <w:szCs w:val="21"/>
              </w:rPr>
              <w:t>＜</w:t>
            </w:r>
            <w:r w:rsidRPr="00DF2CE7">
              <w:rPr>
                <w:rFonts w:ascii="Times New Roman" w:hAnsi="Times New Roman" w:hint="eastAsia"/>
                <w:szCs w:val="21"/>
              </w:rPr>
              <w:t>500</w:t>
            </w:r>
            <w:r w:rsidRPr="00DF2CE7">
              <w:rPr>
                <w:rFonts w:ascii="Times New Roman" w:hAnsi="Times New Roman" w:hint="eastAsia"/>
                <w:szCs w:val="21"/>
              </w:rPr>
              <w:t>万</w:t>
            </w:r>
          </w:p>
        </w:tc>
        <w:tc>
          <w:tcPr>
            <w:tcW w:w="4019" w:type="dxa"/>
            <w:tcBorders>
              <w:top w:val="single" w:sz="4" w:space="0" w:color="auto"/>
              <w:left w:val="single" w:sz="4" w:space="0" w:color="auto"/>
              <w:bottom w:val="single" w:sz="4" w:space="0" w:color="auto"/>
              <w:right w:val="single" w:sz="4" w:space="0" w:color="auto"/>
            </w:tcBorders>
            <w:vAlign w:val="center"/>
          </w:tcPr>
          <w:p w14:paraId="2A789402"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hint="eastAsia"/>
                <w:szCs w:val="21"/>
              </w:rPr>
              <w:t>0.3%</w:t>
            </w:r>
          </w:p>
        </w:tc>
      </w:tr>
      <w:tr w:rsidR="00DF2CE7" w:rsidRPr="00DF2CE7" w14:paraId="30644CD2" w14:textId="77777777" w:rsidTr="002B406E">
        <w:trPr>
          <w:trHeight w:val="397"/>
          <w:jc w:val="center"/>
        </w:trPr>
        <w:tc>
          <w:tcPr>
            <w:tcW w:w="3433" w:type="dxa"/>
            <w:tcBorders>
              <w:top w:val="single" w:sz="4" w:space="0" w:color="auto"/>
              <w:left w:val="single" w:sz="4" w:space="0" w:color="auto"/>
              <w:bottom w:val="single" w:sz="4" w:space="0" w:color="auto"/>
              <w:right w:val="single" w:sz="4" w:space="0" w:color="auto"/>
            </w:tcBorders>
            <w:vAlign w:val="center"/>
          </w:tcPr>
          <w:p w14:paraId="2BDC9597"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hint="eastAsia"/>
                <w:szCs w:val="21"/>
              </w:rPr>
              <w:t>M</w:t>
            </w:r>
            <w:r w:rsidRPr="00DF2CE7">
              <w:rPr>
                <w:rFonts w:ascii="Times New Roman" w:hAnsi="Times New Roman" w:hint="eastAsia"/>
                <w:szCs w:val="21"/>
              </w:rPr>
              <w:t>≥</w:t>
            </w:r>
            <w:r w:rsidRPr="00DF2CE7">
              <w:rPr>
                <w:rFonts w:ascii="Times New Roman" w:hAnsi="Times New Roman" w:hint="eastAsia"/>
                <w:szCs w:val="21"/>
              </w:rPr>
              <w:t>500</w:t>
            </w:r>
            <w:r w:rsidRPr="00DF2CE7">
              <w:rPr>
                <w:rFonts w:ascii="Times New Roman" w:hAnsi="Times New Roman" w:hint="eastAsia"/>
                <w:szCs w:val="21"/>
              </w:rPr>
              <w:t>万</w:t>
            </w:r>
          </w:p>
        </w:tc>
        <w:tc>
          <w:tcPr>
            <w:tcW w:w="4019" w:type="dxa"/>
            <w:tcBorders>
              <w:top w:val="single" w:sz="4" w:space="0" w:color="auto"/>
              <w:left w:val="single" w:sz="4" w:space="0" w:color="auto"/>
              <w:bottom w:val="single" w:sz="4" w:space="0" w:color="auto"/>
              <w:right w:val="single" w:sz="4" w:space="0" w:color="auto"/>
            </w:tcBorders>
            <w:vAlign w:val="center"/>
          </w:tcPr>
          <w:p w14:paraId="48639BFE"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hint="eastAsia"/>
                <w:szCs w:val="21"/>
              </w:rPr>
              <w:t>每笔</w:t>
            </w:r>
            <w:r w:rsidRPr="00DF2CE7">
              <w:rPr>
                <w:rFonts w:ascii="Times New Roman" w:hAnsi="Times New Roman" w:hint="eastAsia"/>
                <w:szCs w:val="21"/>
              </w:rPr>
              <w:t>1,000</w:t>
            </w:r>
            <w:r w:rsidRPr="00DF2CE7">
              <w:rPr>
                <w:rFonts w:ascii="Times New Roman" w:hAnsi="Times New Roman" w:hint="eastAsia"/>
                <w:szCs w:val="21"/>
              </w:rPr>
              <w:t>元</w:t>
            </w:r>
          </w:p>
        </w:tc>
      </w:tr>
    </w:tbl>
    <w:p w14:paraId="12E3DD33" w14:textId="77777777" w:rsidR="00DF2CE7" w:rsidRPr="00DF2CE7" w:rsidRDefault="00DF2CE7" w:rsidP="00DF2CE7">
      <w:pPr>
        <w:autoSpaceDE w:val="0"/>
        <w:autoSpaceDN w:val="0"/>
        <w:adjustRightInd w:val="0"/>
        <w:snapToGrid w:val="0"/>
        <w:spacing w:line="360" w:lineRule="auto"/>
        <w:ind w:firstLineChars="200" w:firstLine="420"/>
        <w:rPr>
          <w:rFonts w:ascii="Times New Roman" w:hAnsi="Times New Roman"/>
        </w:rPr>
      </w:pPr>
      <w:r w:rsidRPr="00DF2CE7">
        <w:rPr>
          <w:rFonts w:ascii="Times New Roman" w:hAnsi="Times New Roman" w:cs="宋体" w:hint="eastAsia"/>
        </w:rPr>
        <w:t>对于</w:t>
      </w:r>
      <w:r w:rsidRPr="00DF2CE7">
        <w:rPr>
          <w:rFonts w:ascii="Times New Roman" w:hAnsi="Times New Roman" w:cs="宋体"/>
        </w:rPr>
        <w:t>认</w:t>
      </w:r>
      <w:r w:rsidRPr="00DF2CE7">
        <w:rPr>
          <w:rFonts w:ascii="Times New Roman" w:hAnsi="Times New Roman" w:cs="宋体"/>
        </w:rPr>
        <w:t>/</w:t>
      </w:r>
      <w:r w:rsidRPr="00DF2CE7">
        <w:rPr>
          <w:rFonts w:ascii="Times New Roman" w:hAnsi="Times New Roman" w:cs="宋体"/>
        </w:rPr>
        <w:t>申</w:t>
      </w:r>
      <w:r w:rsidRPr="00DF2CE7">
        <w:rPr>
          <w:rFonts w:ascii="Times New Roman" w:hAnsi="Times New Roman" w:cs="宋体" w:hint="eastAsia"/>
        </w:rPr>
        <w:t>购本基金</w:t>
      </w:r>
      <w:r w:rsidRPr="00DF2CE7">
        <w:rPr>
          <w:rFonts w:ascii="Times New Roman" w:hAnsi="Times New Roman"/>
        </w:rPr>
        <w:t>C</w:t>
      </w:r>
      <w:r w:rsidRPr="00DF2CE7">
        <w:rPr>
          <w:rFonts w:ascii="Times New Roman" w:hAnsi="Times New Roman" w:cs="宋体" w:hint="eastAsia"/>
        </w:rPr>
        <w:t>类基金份额的投资人，</w:t>
      </w:r>
      <w:r w:rsidRPr="00DF2CE7">
        <w:rPr>
          <w:rFonts w:ascii="Times New Roman" w:hAnsi="Times New Roman" w:cs="宋体"/>
        </w:rPr>
        <w:t>认</w:t>
      </w:r>
      <w:r w:rsidRPr="00DF2CE7">
        <w:rPr>
          <w:rFonts w:ascii="Times New Roman" w:hAnsi="Times New Roman" w:cs="宋体"/>
        </w:rPr>
        <w:t>/</w:t>
      </w:r>
      <w:r w:rsidRPr="00DF2CE7">
        <w:rPr>
          <w:rFonts w:ascii="Times New Roman" w:hAnsi="Times New Roman" w:cs="宋体"/>
        </w:rPr>
        <w:t>申</w:t>
      </w:r>
      <w:r w:rsidRPr="00DF2CE7">
        <w:rPr>
          <w:rFonts w:ascii="Times New Roman" w:hAnsi="Times New Roman" w:cs="宋体" w:hint="eastAsia"/>
        </w:rPr>
        <w:t>购费率为零。</w:t>
      </w:r>
    </w:p>
    <w:p w14:paraId="4AA996E3" w14:textId="77777777" w:rsidR="00DF2CE7" w:rsidRPr="00DF2CE7" w:rsidRDefault="00DF2CE7" w:rsidP="00DF2CE7">
      <w:pPr>
        <w:adjustRightInd w:val="0"/>
        <w:snapToGrid w:val="0"/>
        <w:spacing w:line="360" w:lineRule="auto"/>
        <w:ind w:firstLineChars="200" w:firstLine="420"/>
        <w:rPr>
          <w:rFonts w:ascii="宋体" w:hAnsi="宋体"/>
          <w:szCs w:val="21"/>
        </w:rPr>
      </w:pPr>
      <w:r w:rsidRPr="00DF2CE7">
        <w:rPr>
          <w:rFonts w:ascii="宋体" w:hAnsi="宋体" w:hint="eastAsia"/>
          <w:szCs w:val="21"/>
        </w:rPr>
        <w:t>4、赎回费</w:t>
      </w:r>
    </w:p>
    <w:p w14:paraId="670E667E" w14:textId="77777777" w:rsidR="00DF2CE7" w:rsidRPr="00DF2CE7" w:rsidRDefault="00DF2CE7" w:rsidP="00DF2CE7">
      <w:pPr>
        <w:snapToGrid w:val="0"/>
        <w:spacing w:line="360" w:lineRule="auto"/>
        <w:ind w:firstLineChars="200" w:firstLine="420"/>
        <w:rPr>
          <w:rFonts w:ascii="Times New Roman" w:hAnsi="Times New Roman" w:cs="宋体"/>
          <w:color w:val="000000"/>
        </w:rPr>
      </w:pPr>
      <w:r w:rsidRPr="00DF2CE7">
        <w:rPr>
          <w:rFonts w:ascii="Times New Roman" w:hAnsi="Times New Roman" w:cs="宋体" w:hint="eastAsia"/>
          <w:color w:val="000000"/>
        </w:rPr>
        <w:t>（</w:t>
      </w:r>
      <w:r w:rsidRPr="00DF2CE7">
        <w:rPr>
          <w:rFonts w:ascii="Times New Roman" w:hAnsi="Times New Roman" w:cs="宋体" w:hint="eastAsia"/>
          <w:color w:val="000000"/>
        </w:rPr>
        <w:t>1</w:t>
      </w:r>
      <w:r w:rsidRPr="00DF2CE7">
        <w:rPr>
          <w:rFonts w:ascii="Times New Roman" w:hAnsi="Times New Roman" w:cs="宋体" w:hint="eastAsia"/>
          <w:color w:val="000000"/>
        </w:rPr>
        <w:t>）对于个人投资者，本基金各类基金份额的赎回费率如下：</w:t>
      </w:r>
    </w:p>
    <w:tbl>
      <w:tblPr>
        <w:tblW w:w="37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7"/>
      </w:tblGrid>
      <w:tr w:rsidR="00DF2CE7" w:rsidRPr="00DF2CE7" w14:paraId="0E6694B4" w14:textId="77777777" w:rsidTr="002B406E">
        <w:trPr>
          <w:trHeight w:val="397"/>
          <w:jc w:val="center"/>
        </w:trPr>
        <w:tc>
          <w:tcPr>
            <w:tcW w:w="3118" w:type="dxa"/>
            <w:vAlign w:val="center"/>
          </w:tcPr>
          <w:p w14:paraId="2E7EDC6C"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hint="eastAsia"/>
                <w:szCs w:val="21"/>
              </w:rPr>
              <w:t>持有期限（</w:t>
            </w:r>
            <w:r w:rsidRPr="00DF2CE7">
              <w:rPr>
                <w:rFonts w:ascii="Times New Roman" w:hAnsi="Times New Roman" w:hint="eastAsia"/>
                <w:szCs w:val="21"/>
              </w:rPr>
              <w:t>N</w:t>
            </w:r>
            <w:r w:rsidRPr="00DF2CE7">
              <w:rPr>
                <w:rFonts w:ascii="Times New Roman" w:hAnsi="Times New Roman" w:hint="eastAsia"/>
                <w:szCs w:val="21"/>
              </w:rPr>
              <w:t>）</w:t>
            </w:r>
          </w:p>
        </w:tc>
        <w:tc>
          <w:tcPr>
            <w:tcW w:w="3117" w:type="dxa"/>
            <w:vAlign w:val="center"/>
          </w:tcPr>
          <w:p w14:paraId="53DADD3F"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赎回费率</w:t>
            </w:r>
          </w:p>
        </w:tc>
      </w:tr>
      <w:tr w:rsidR="00DF2CE7" w:rsidRPr="00DF2CE7" w14:paraId="66C580DE" w14:textId="77777777" w:rsidTr="002B406E">
        <w:trPr>
          <w:trHeight w:val="397"/>
          <w:jc w:val="center"/>
        </w:trPr>
        <w:tc>
          <w:tcPr>
            <w:tcW w:w="3118" w:type="dxa"/>
            <w:vAlign w:val="center"/>
          </w:tcPr>
          <w:p w14:paraId="10637690"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N</w:t>
            </w:r>
            <w:r w:rsidRPr="00DF2CE7">
              <w:rPr>
                <w:rFonts w:ascii="Times New Roman" w:hAnsi="Times New Roman"/>
                <w:szCs w:val="21"/>
              </w:rPr>
              <w:t>＜</w:t>
            </w:r>
            <w:r w:rsidRPr="00DF2CE7">
              <w:rPr>
                <w:rFonts w:ascii="Times New Roman" w:hAnsi="Times New Roman"/>
                <w:szCs w:val="21"/>
              </w:rPr>
              <w:t>7</w:t>
            </w:r>
            <w:r w:rsidRPr="00DF2CE7">
              <w:rPr>
                <w:rFonts w:ascii="Times New Roman" w:hAnsi="Times New Roman" w:hint="eastAsia"/>
                <w:szCs w:val="21"/>
              </w:rPr>
              <w:t>天</w:t>
            </w:r>
          </w:p>
        </w:tc>
        <w:tc>
          <w:tcPr>
            <w:tcW w:w="3117" w:type="dxa"/>
            <w:vAlign w:val="center"/>
          </w:tcPr>
          <w:p w14:paraId="52C83C7E"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1.5%</w:t>
            </w:r>
          </w:p>
        </w:tc>
      </w:tr>
      <w:tr w:rsidR="00DF2CE7" w:rsidRPr="00DF2CE7" w14:paraId="238E576B" w14:textId="77777777" w:rsidTr="002B406E">
        <w:trPr>
          <w:trHeight w:val="397"/>
          <w:jc w:val="center"/>
        </w:trPr>
        <w:tc>
          <w:tcPr>
            <w:tcW w:w="3118" w:type="dxa"/>
            <w:vAlign w:val="center"/>
          </w:tcPr>
          <w:p w14:paraId="41EDAF59"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lastRenderedPageBreak/>
              <w:t>N</w:t>
            </w:r>
            <w:r w:rsidRPr="00DF2CE7">
              <w:rPr>
                <w:rFonts w:ascii="Times New Roman" w:hAnsi="Times New Roman" w:hint="eastAsia"/>
                <w:szCs w:val="21"/>
              </w:rPr>
              <w:t>≥</w:t>
            </w:r>
            <w:r w:rsidRPr="00DF2CE7">
              <w:rPr>
                <w:rFonts w:ascii="Times New Roman" w:hAnsi="Times New Roman" w:hint="eastAsia"/>
                <w:szCs w:val="21"/>
              </w:rPr>
              <w:t>7</w:t>
            </w:r>
            <w:r w:rsidRPr="00DF2CE7">
              <w:rPr>
                <w:rFonts w:ascii="Times New Roman" w:hAnsi="Times New Roman" w:hint="eastAsia"/>
                <w:szCs w:val="21"/>
              </w:rPr>
              <w:t>天</w:t>
            </w:r>
          </w:p>
        </w:tc>
        <w:tc>
          <w:tcPr>
            <w:tcW w:w="3117" w:type="dxa"/>
            <w:vAlign w:val="center"/>
          </w:tcPr>
          <w:p w14:paraId="566CB5FC"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0</w:t>
            </w:r>
          </w:p>
        </w:tc>
      </w:tr>
    </w:tbl>
    <w:p w14:paraId="26BC79AA" w14:textId="77777777" w:rsidR="00DF2CE7" w:rsidRPr="00DF2CE7" w:rsidRDefault="00DF2CE7" w:rsidP="00DF2CE7">
      <w:pPr>
        <w:snapToGrid w:val="0"/>
        <w:spacing w:line="360" w:lineRule="auto"/>
        <w:ind w:firstLineChars="200" w:firstLine="420"/>
        <w:rPr>
          <w:rFonts w:ascii="Times New Roman" w:hAnsi="Times New Roman" w:cs="宋体"/>
          <w:color w:val="000000"/>
        </w:rPr>
      </w:pPr>
      <w:r w:rsidRPr="00DF2CE7">
        <w:rPr>
          <w:rFonts w:ascii="Times New Roman" w:hAnsi="Times New Roman" w:cs="宋体" w:hint="eastAsia"/>
          <w:color w:val="000000"/>
        </w:rPr>
        <w:t>（</w:t>
      </w:r>
      <w:r w:rsidRPr="00DF2CE7">
        <w:rPr>
          <w:rFonts w:ascii="Times New Roman" w:hAnsi="Times New Roman" w:cs="宋体" w:hint="eastAsia"/>
          <w:color w:val="000000"/>
        </w:rPr>
        <w:t>2</w:t>
      </w:r>
      <w:r w:rsidRPr="00DF2CE7">
        <w:rPr>
          <w:rFonts w:ascii="Times New Roman" w:hAnsi="Times New Roman" w:cs="宋体" w:hint="eastAsia"/>
          <w:color w:val="000000"/>
        </w:rPr>
        <w:t>）对于个人投资者以外的其他投资者，本基金各类基金份额的赎回费率如下：</w:t>
      </w:r>
    </w:p>
    <w:tbl>
      <w:tblPr>
        <w:tblW w:w="37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8"/>
      </w:tblGrid>
      <w:tr w:rsidR="00DF2CE7" w:rsidRPr="00DF2CE7" w14:paraId="4CFAF534" w14:textId="77777777" w:rsidTr="002B406E">
        <w:trPr>
          <w:trHeight w:val="397"/>
          <w:jc w:val="center"/>
        </w:trPr>
        <w:tc>
          <w:tcPr>
            <w:tcW w:w="2500" w:type="pct"/>
            <w:vAlign w:val="center"/>
          </w:tcPr>
          <w:p w14:paraId="279447C6" w14:textId="77777777" w:rsidR="00DF2CE7" w:rsidRPr="00DF2CE7" w:rsidRDefault="00DF2CE7" w:rsidP="00DF2CE7">
            <w:pPr>
              <w:adjustRightInd w:val="0"/>
              <w:jc w:val="center"/>
              <w:rPr>
                <w:rFonts w:ascii="Times New Roman" w:hAnsi="Times New Roman"/>
                <w:szCs w:val="21"/>
              </w:rPr>
            </w:pPr>
            <w:r w:rsidRPr="00DF2CE7">
              <w:rPr>
                <w:rFonts w:ascii="Times New Roman" w:hAnsi="Times New Roman" w:hint="eastAsia"/>
                <w:szCs w:val="21"/>
              </w:rPr>
              <w:t>持有期限（</w:t>
            </w:r>
            <w:r w:rsidRPr="00DF2CE7">
              <w:rPr>
                <w:rFonts w:ascii="Times New Roman" w:hAnsi="Times New Roman" w:hint="eastAsia"/>
                <w:szCs w:val="21"/>
              </w:rPr>
              <w:t>N</w:t>
            </w:r>
            <w:r w:rsidRPr="00DF2CE7">
              <w:rPr>
                <w:rFonts w:ascii="Times New Roman" w:hAnsi="Times New Roman" w:hint="eastAsia"/>
                <w:szCs w:val="21"/>
              </w:rPr>
              <w:t>）</w:t>
            </w:r>
          </w:p>
        </w:tc>
        <w:tc>
          <w:tcPr>
            <w:tcW w:w="2500" w:type="pct"/>
            <w:vAlign w:val="center"/>
          </w:tcPr>
          <w:p w14:paraId="7E9248AC" w14:textId="77777777" w:rsidR="00DF2CE7" w:rsidRPr="00DF2CE7" w:rsidRDefault="00DF2CE7" w:rsidP="00DF2CE7">
            <w:pPr>
              <w:adjustRightInd w:val="0"/>
              <w:jc w:val="center"/>
              <w:rPr>
                <w:rFonts w:ascii="Times New Roman" w:hAnsi="Times New Roman"/>
                <w:szCs w:val="21"/>
              </w:rPr>
            </w:pPr>
            <w:r w:rsidRPr="00DF2CE7">
              <w:rPr>
                <w:rFonts w:ascii="Times New Roman" w:hAnsi="Times New Roman"/>
                <w:szCs w:val="21"/>
              </w:rPr>
              <w:t>赎回费率</w:t>
            </w:r>
          </w:p>
        </w:tc>
      </w:tr>
      <w:tr w:rsidR="00DF2CE7" w:rsidRPr="00DF2CE7" w14:paraId="58197A75" w14:textId="77777777" w:rsidTr="002B406E">
        <w:trPr>
          <w:trHeight w:val="397"/>
          <w:jc w:val="center"/>
        </w:trPr>
        <w:tc>
          <w:tcPr>
            <w:tcW w:w="2500" w:type="pct"/>
            <w:vAlign w:val="center"/>
          </w:tcPr>
          <w:p w14:paraId="529DBC82"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N</w:t>
            </w:r>
            <w:r w:rsidRPr="00DF2CE7">
              <w:rPr>
                <w:rFonts w:ascii="Times New Roman" w:hAnsi="Times New Roman" w:hint="eastAsia"/>
                <w:szCs w:val="21"/>
              </w:rPr>
              <w:t>＜</w:t>
            </w:r>
            <w:r w:rsidRPr="00DF2CE7">
              <w:rPr>
                <w:rFonts w:ascii="Times New Roman" w:hAnsi="Times New Roman"/>
                <w:szCs w:val="21"/>
              </w:rPr>
              <w:t>7</w:t>
            </w:r>
            <w:r w:rsidRPr="00DF2CE7">
              <w:rPr>
                <w:rFonts w:ascii="Times New Roman" w:hAnsi="Times New Roman" w:hint="eastAsia"/>
                <w:szCs w:val="21"/>
              </w:rPr>
              <w:t>天</w:t>
            </w:r>
          </w:p>
        </w:tc>
        <w:tc>
          <w:tcPr>
            <w:tcW w:w="2500" w:type="pct"/>
            <w:vAlign w:val="center"/>
          </w:tcPr>
          <w:p w14:paraId="0855A14B"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1.5%</w:t>
            </w:r>
          </w:p>
        </w:tc>
      </w:tr>
      <w:tr w:rsidR="00DF2CE7" w:rsidRPr="00DF2CE7" w14:paraId="388D2AAF" w14:textId="77777777" w:rsidTr="002B406E">
        <w:trPr>
          <w:trHeight w:val="397"/>
          <w:jc w:val="center"/>
        </w:trPr>
        <w:tc>
          <w:tcPr>
            <w:tcW w:w="2500" w:type="pct"/>
            <w:vAlign w:val="center"/>
          </w:tcPr>
          <w:p w14:paraId="647BCDE4"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7</w:t>
            </w:r>
            <w:r w:rsidRPr="00DF2CE7">
              <w:rPr>
                <w:rFonts w:ascii="Times New Roman" w:hAnsi="Times New Roman" w:hint="eastAsia"/>
                <w:szCs w:val="21"/>
              </w:rPr>
              <w:t>天≤</w:t>
            </w:r>
            <w:r w:rsidRPr="00DF2CE7">
              <w:rPr>
                <w:rFonts w:ascii="Times New Roman" w:hAnsi="Times New Roman"/>
                <w:szCs w:val="21"/>
              </w:rPr>
              <w:t>N</w:t>
            </w:r>
            <w:r w:rsidRPr="00DF2CE7">
              <w:rPr>
                <w:rFonts w:ascii="Times New Roman" w:hAnsi="Times New Roman" w:hint="eastAsia"/>
                <w:szCs w:val="21"/>
              </w:rPr>
              <w:t>＜</w:t>
            </w:r>
            <w:r w:rsidRPr="00DF2CE7">
              <w:rPr>
                <w:rFonts w:ascii="Times New Roman" w:hAnsi="Times New Roman"/>
                <w:szCs w:val="21"/>
              </w:rPr>
              <w:t>30</w:t>
            </w:r>
            <w:r w:rsidRPr="00DF2CE7">
              <w:rPr>
                <w:rFonts w:ascii="Times New Roman" w:hAnsi="Times New Roman" w:hint="eastAsia"/>
                <w:szCs w:val="21"/>
              </w:rPr>
              <w:t>天</w:t>
            </w:r>
          </w:p>
        </w:tc>
        <w:tc>
          <w:tcPr>
            <w:tcW w:w="2500" w:type="pct"/>
            <w:vAlign w:val="center"/>
          </w:tcPr>
          <w:p w14:paraId="7C969989"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1.0%</w:t>
            </w:r>
          </w:p>
        </w:tc>
      </w:tr>
      <w:tr w:rsidR="00DF2CE7" w:rsidRPr="00DF2CE7" w14:paraId="74E67D59" w14:textId="77777777" w:rsidTr="002B406E">
        <w:trPr>
          <w:trHeight w:val="397"/>
          <w:jc w:val="center"/>
        </w:trPr>
        <w:tc>
          <w:tcPr>
            <w:tcW w:w="2500" w:type="pct"/>
            <w:vAlign w:val="center"/>
          </w:tcPr>
          <w:p w14:paraId="1AAB569D"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30</w:t>
            </w:r>
            <w:r w:rsidRPr="00DF2CE7">
              <w:rPr>
                <w:rFonts w:ascii="Times New Roman" w:hAnsi="Times New Roman" w:hint="eastAsia"/>
                <w:szCs w:val="21"/>
              </w:rPr>
              <w:t>天≤</w:t>
            </w:r>
            <w:r w:rsidRPr="00DF2CE7">
              <w:rPr>
                <w:rFonts w:ascii="Times New Roman" w:hAnsi="Times New Roman"/>
                <w:szCs w:val="21"/>
              </w:rPr>
              <w:t>N</w:t>
            </w:r>
            <w:r w:rsidRPr="00DF2CE7">
              <w:rPr>
                <w:rFonts w:ascii="Times New Roman" w:hAnsi="Times New Roman" w:hint="eastAsia"/>
                <w:szCs w:val="21"/>
              </w:rPr>
              <w:t>＜</w:t>
            </w:r>
            <w:r w:rsidRPr="00DF2CE7">
              <w:rPr>
                <w:rFonts w:ascii="Times New Roman" w:hAnsi="Times New Roman"/>
                <w:szCs w:val="21"/>
              </w:rPr>
              <w:t>180</w:t>
            </w:r>
            <w:r w:rsidRPr="00DF2CE7">
              <w:rPr>
                <w:rFonts w:ascii="Times New Roman" w:hAnsi="Times New Roman" w:hint="eastAsia"/>
                <w:szCs w:val="21"/>
              </w:rPr>
              <w:t>天</w:t>
            </w:r>
          </w:p>
        </w:tc>
        <w:tc>
          <w:tcPr>
            <w:tcW w:w="2500" w:type="pct"/>
            <w:vAlign w:val="center"/>
          </w:tcPr>
          <w:p w14:paraId="3A26931C"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0.5%</w:t>
            </w:r>
          </w:p>
        </w:tc>
      </w:tr>
      <w:tr w:rsidR="00DF2CE7" w:rsidRPr="00DF2CE7" w14:paraId="5F240EA4" w14:textId="77777777" w:rsidTr="002B406E">
        <w:trPr>
          <w:trHeight w:val="397"/>
          <w:jc w:val="center"/>
        </w:trPr>
        <w:tc>
          <w:tcPr>
            <w:tcW w:w="2500" w:type="pct"/>
            <w:vAlign w:val="center"/>
          </w:tcPr>
          <w:p w14:paraId="4963B9EA"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N</w:t>
            </w:r>
            <w:r w:rsidRPr="00DF2CE7">
              <w:rPr>
                <w:rFonts w:ascii="Times New Roman" w:hAnsi="Times New Roman" w:hint="eastAsia"/>
                <w:szCs w:val="21"/>
              </w:rPr>
              <w:t>≥</w:t>
            </w:r>
            <w:r w:rsidRPr="00DF2CE7">
              <w:rPr>
                <w:rFonts w:ascii="Times New Roman" w:hAnsi="Times New Roman"/>
                <w:szCs w:val="21"/>
              </w:rPr>
              <w:t>180</w:t>
            </w:r>
            <w:r w:rsidRPr="00DF2CE7">
              <w:rPr>
                <w:rFonts w:ascii="Times New Roman" w:hAnsi="Times New Roman" w:hint="eastAsia"/>
                <w:szCs w:val="21"/>
              </w:rPr>
              <w:t>天</w:t>
            </w:r>
          </w:p>
        </w:tc>
        <w:tc>
          <w:tcPr>
            <w:tcW w:w="2500" w:type="pct"/>
            <w:vAlign w:val="center"/>
          </w:tcPr>
          <w:p w14:paraId="11E02625" w14:textId="77777777" w:rsidR="00DF2CE7" w:rsidRPr="00DF2CE7" w:rsidRDefault="00DF2CE7" w:rsidP="00DF2CE7">
            <w:pPr>
              <w:adjustRightInd w:val="0"/>
              <w:snapToGrid w:val="0"/>
              <w:jc w:val="center"/>
              <w:rPr>
                <w:rFonts w:ascii="Times New Roman" w:hAnsi="Times New Roman"/>
                <w:szCs w:val="21"/>
              </w:rPr>
            </w:pPr>
            <w:r w:rsidRPr="00DF2CE7">
              <w:rPr>
                <w:rFonts w:ascii="Times New Roman" w:hAnsi="Times New Roman"/>
                <w:szCs w:val="21"/>
              </w:rPr>
              <w:t>0%</w:t>
            </w:r>
          </w:p>
        </w:tc>
      </w:tr>
    </w:tbl>
    <w:p w14:paraId="05528213" w14:textId="77777777" w:rsidR="00DF2CE7" w:rsidRPr="00DF2CE7" w:rsidRDefault="00DF2CE7" w:rsidP="00DF2CE7">
      <w:pPr>
        <w:spacing w:line="360" w:lineRule="auto"/>
        <w:ind w:firstLineChars="200" w:firstLine="420"/>
        <w:rPr>
          <w:rFonts w:cs="宋体"/>
          <w:color w:val="000000"/>
          <w:szCs w:val="21"/>
        </w:rPr>
      </w:pPr>
      <w:bookmarkStart w:id="3" w:name="_Hlk63270160"/>
      <w:r w:rsidRPr="00DF2CE7">
        <w:rPr>
          <w:rFonts w:cs="宋体" w:hint="eastAsia"/>
          <w:color w:val="000000"/>
          <w:szCs w:val="21"/>
        </w:rPr>
        <w:t>赎回费用由赎回基金份额的基金份额持有人承担，在基金份额持有人赎回基金份额时收取。赎回费全额归入基金财产</w:t>
      </w:r>
      <w:bookmarkEnd w:id="3"/>
      <w:r w:rsidRPr="00DF2CE7">
        <w:rPr>
          <w:rFonts w:cs="宋体" w:hint="eastAsia"/>
          <w:color w:val="000000"/>
          <w:szCs w:val="21"/>
        </w:rPr>
        <w:t>。</w:t>
      </w:r>
    </w:p>
    <w:p w14:paraId="4954B3DF" w14:textId="01DB80E5"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5、C类销售服务费：</w:t>
      </w:r>
      <w:r w:rsidR="000F5270">
        <w:rPr>
          <w:rFonts w:ascii="宋体" w:hAnsi="宋体" w:hint="eastAsia"/>
          <w:szCs w:val="21"/>
        </w:rPr>
        <w:t>{{销售服务费率}}</w:t>
      </w:r>
      <w:commentRangeStart w:id="4"/>
      <w:r w:rsidR="000F5270" w:rsidRPr="00DF2CE7">
        <w:rPr>
          <w:rFonts w:ascii="宋体" w:hAnsi="宋体"/>
          <w:szCs w:val="21"/>
        </w:rPr>
        <w:t>%</w:t>
      </w:r>
      <w:commentRangeEnd w:id="4"/>
      <w:r w:rsidRPr="00DF2CE7">
        <w:rPr>
          <w:rFonts w:ascii="宋体" w:hAnsi="宋体"/>
        </w:rPr>
        <w:commentReference w:id="4"/>
      </w:r>
    </w:p>
    <w:p w14:paraId="518548DA"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C类基金份额的销售服务费计提、具体收取/返还方式：</w:t>
      </w:r>
    </w:p>
    <w:p w14:paraId="0148C10B"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（1）直销机构</w:t>
      </w:r>
    </w:p>
    <w:p w14:paraId="5F228169"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对于C类基金份额计提的销售服务费，在投资人赎回相应基金份额或基金合同终止时随赎回款或清算款一并返还给投资人。</w:t>
      </w:r>
    </w:p>
    <w:p w14:paraId="49CB7EC0"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（2）其他销售机构</w:t>
      </w:r>
    </w:p>
    <w:p w14:paraId="1ECA5662"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对于投资人持续持有期限未超过一年的C类基金份额收取的销售服务费每日计算，逐日累计至每月月末，按月支付。由基金管理人与基金托管人核对一致后，由基金托管人于次月首日起第3个工作日内从基金财产中一次性支付给基金管理人并由基金管理人代付给各基金销售机构。若遇法定节假日、休息日或不可抗力致使无法按时支付的，支付日期顺延。</w:t>
      </w:r>
    </w:p>
    <w:p w14:paraId="53609DC8" w14:textId="77777777" w:rsidR="00DF2CE7" w:rsidRPr="00DF2CE7" w:rsidRDefault="00DF2CE7" w:rsidP="00DF2CE7">
      <w:pPr>
        <w:spacing w:line="360" w:lineRule="auto"/>
        <w:ind w:firstLineChars="200" w:firstLine="420"/>
        <w:rPr>
          <w:rFonts w:ascii="宋体" w:hAnsi="宋体"/>
          <w:szCs w:val="21"/>
        </w:rPr>
      </w:pPr>
      <w:r w:rsidRPr="00DF2CE7">
        <w:rPr>
          <w:rFonts w:ascii="宋体" w:hAnsi="宋体" w:hint="eastAsia"/>
          <w:szCs w:val="21"/>
        </w:rPr>
        <w:t>对于投资人持续持有期限超过一年的C类基金份额，继续计提的销售服务费将在投资人赎回相应基金份额或基金合同终止时随赎回款或清算款一并返还给投资人。</w:t>
      </w:r>
    </w:p>
    <w:p w14:paraId="0830A784" w14:textId="4BC0CD8A" w:rsidR="00960490" w:rsidRPr="00960490" w:rsidRDefault="00DF2CE7" w:rsidP="00960490">
      <w:pPr>
        <w:adjustRightInd w:val="0"/>
        <w:snapToGrid w:val="0"/>
        <w:spacing w:line="360" w:lineRule="auto"/>
        <w:ind w:firstLineChars="200" w:firstLine="420"/>
        <w:rPr>
          <w:rFonts w:ascii="宋体" w:hAnsi="宋体"/>
          <w:szCs w:val="21"/>
        </w:rPr>
      </w:pPr>
      <w:r w:rsidRPr="00DF2CE7">
        <w:rPr>
          <w:rFonts w:ascii="宋体" w:hAnsi="宋体" w:hint="eastAsia"/>
          <w:szCs w:val="21"/>
        </w:rPr>
        <w:t>销售服务费计提后按规定收取或返还投资者的金额以登记机构的计算结果为准。</w:t>
      </w:r>
    </w:p>
    <w:p w14:paraId="4D97272D" w14:textId="77777777" w:rsidR="00747B37" w:rsidRPr="00C8397D" w:rsidRDefault="00747B37" w:rsidP="00C8397D">
      <w:pPr>
        <w:pStyle w:val="2"/>
        <w:adjustRightInd w:val="0"/>
        <w:snapToGrid w:val="0"/>
        <w:ind w:firstLine="400"/>
        <w:rPr>
          <w:rFonts w:ascii="宋体" w:eastAsia="宋体" w:hAnsi="宋体"/>
          <w:sz w:val="20"/>
          <w:szCs w:val="20"/>
        </w:rPr>
      </w:pPr>
    </w:p>
    <w:p w14:paraId="3AC6DA57" w14:textId="77777777" w:rsidR="004D6499" w:rsidRPr="000D000B" w:rsidRDefault="004D6499" w:rsidP="004D6499">
      <w:pPr>
        <w:snapToGrid w:val="0"/>
        <w:spacing w:line="360" w:lineRule="auto"/>
        <w:ind w:firstLineChars="200" w:firstLine="422"/>
        <w:outlineLvl w:val="0"/>
        <w:rPr>
          <w:rFonts w:ascii="宋体" w:hAnsi="宋体"/>
          <w:b/>
        </w:rPr>
      </w:pPr>
      <w:r w:rsidRPr="000D000B">
        <w:rPr>
          <w:rFonts w:ascii="宋体" w:hAnsi="宋体" w:hint="eastAsia"/>
          <w:b/>
        </w:rPr>
        <w:t>四、本基金的投资</w:t>
      </w:r>
    </w:p>
    <w:p w14:paraId="16CB7C21" w14:textId="372FBB0C"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一、投资目标</w:t>
      </w:r>
    </w:p>
    <w:p w14:paraId="1765C32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本基金通过投资于目标ETF，紧密跟踪标的指数，追求与业绩比较基准相似的回报。</w:t>
      </w:r>
    </w:p>
    <w:p w14:paraId="35FC5562"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二、投资范围</w:t>
      </w:r>
    </w:p>
    <w:p w14:paraId="2C645C81" w14:textId="577B470F"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本基金主要投资于目标ETF基金份额、标的指数成份股、备选成份股</w:t>
      </w:r>
      <w:r w:rsidR="00B9702D" w:rsidRPr="00B9702D">
        <w:rPr>
          <w:rFonts w:ascii="宋体" w:hAnsi="宋体" w:hint="eastAsia"/>
          <w:szCs w:val="21"/>
        </w:rPr>
        <w:t>（含存托凭证）</w:t>
      </w:r>
      <w:r w:rsidRPr="00425D2B">
        <w:rPr>
          <w:rFonts w:ascii="宋体" w:hAnsi="宋体" w:hint="eastAsia"/>
          <w:szCs w:val="21"/>
        </w:rPr>
        <w:t>。为更好地实现投资目标，本基金可少量投资于非成份股（包含主板、创业板</w:t>
      </w:r>
      <w:r w:rsidR="00DF2CE7">
        <w:rPr>
          <w:rFonts w:ascii="宋体" w:hAnsi="宋体" w:hint="eastAsia"/>
          <w:szCs w:val="21"/>
        </w:rPr>
        <w:t>、科创板</w:t>
      </w:r>
      <w:r w:rsidRPr="00425D2B">
        <w:rPr>
          <w:rFonts w:ascii="宋体" w:hAnsi="宋体" w:hint="eastAsia"/>
          <w:szCs w:val="21"/>
        </w:rPr>
        <w:t>及其他经中国证监会核准或注册发行的股票</w:t>
      </w:r>
      <w:r w:rsidR="00993CCC">
        <w:rPr>
          <w:rFonts w:ascii="宋体" w:hAnsi="宋体" w:hint="eastAsia"/>
          <w:szCs w:val="21"/>
        </w:rPr>
        <w:t>、</w:t>
      </w:r>
      <w:r w:rsidR="00993CCC" w:rsidRPr="00B9702D">
        <w:rPr>
          <w:rFonts w:ascii="宋体" w:hAnsi="宋体" w:hint="eastAsia"/>
          <w:szCs w:val="21"/>
        </w:rPr>
        <w:t>存托凭证</w:t>
      </w:r>
      <w:r w:rsidRPr="00425D2B">
        <w:rPr>
          <w:rFonts w:ascii="宋体" w:hAnsi="宋体" w:hint="eastAsia"/>
          <w:szCs w:val="21"/>
        </w:rPr>
        <w:t>）、</w:t>
      </w:r>
      <w:r w:rsidR="00DA28F0" w:rsidRPr="00DA28F0">
        <w:rPr>
          <w:rFonts w:ascii="宋体" w:hAnsi="宋体" w:hint="eastAsia"/>
          <w:szCs w:val="21"/>
        </w:rPr>
        <w:t>金融衍生品</w:t>
      </w:r>
      <w:r w:rsidRPr="00425D2B">
        <w:rPr>
          <w:rFonts w:ascii="宋体" w:hAnsi="宋体" w:hint="eastAsia"/>
          <w:szCs w:val="21"/>
        </w:rPr>
        <w:t>（股指期货、股票期权等）、债券（包括国债、金融债、企业债、公司债、政府机构债券、地方政府债券、次级债、可转</w:t>
      </w:r>
      <w:r w:rsidRPr="00425D2B">
        <w:rPr>
          <w:rFonts w:ascii="宋体" w:hAnsi="宋体" w:hint="eastAsia"/>
          <w:szCs w:val="21"/>
        </w:rPr>
        <w:lastRenderedPageBreak/>
        <w:t>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213D9AC8"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本基金根据相关规定可参与融资、转融通证券出借业务。</w:t>
      </w:r>
    </w:p>
    <w:p w14:paraId="728B8509" w14:textId="77777777" w:rsidR="00B9702D" w:rsidRPr="00425D2B" w:rsidRDefault="00B9702D" w:rsidP="00B9702D">
      <w:pPr>
        <w:spacing w:line="360" w:lineRule="auto"/>
        <w:ind w:firstLineChars="200" w:firstLine="420"/>
        <w:rPr>
          <w:rFonts w:ascii="宋体" w:hAnsi="宋体"/>
          <w:szCs w:val="21"/>
        </w:rPr>
      </w:pPr>
      <w:r w:rsidRPr="00425D2B">
        <w:rPr>
          <w:rFonts w:ascii="宋体" w:hAnsi="宋体" w:hint="eastAsia"/>
          <w:szCs w:val="21"/>
        </w:rPr>
        <w:t>如法律法规或监管机构以后允许基金投资其他品种，基金管理人在履行适当程序后，可以将其纳入投资范围。</w:t>
      </w:r>
    </w:p>
    <w:p w14:paraId="48FC5218" w14:textId="77777777" w:rsidR="00425D2B" w:rsidRDefault="00425D2B" w:rsidP="00425D2B">
      <w:pPr>
        <w:spacing w:line="360" w:lineRule="auto"/>
        <w:ind w:firstLineChars="200" w:firstLine="420"/>
        <w:rPr>
          <w:rFonts w:ascii="宋体" w:hAnsi="宋体"/>
          <w:szCs w:val="21"/>
        </w:rPr>
      </w:pPr>
      <w:r w:rsidRPr="00425D2B">
        <w:rPr>
          <w:rFonts w:ascii="宋体" w:hAnsi="宋体" w:hint="eastAsia"/>
          <w:szCs w:val="21"/>
        </w:rPr>
        <w:t>基金的投资组合比例为：在建仓完成后，本基金投资于目标ETF的比例不低于基金资产净值的90%。每个交易日日终在扣除金融衍生品合约需缴纳的交易保证金后，现金或到期日在一年以内的政府债券的投资比例不低于基金资产净值的5%，其中现金不包括结算备付金、存出保证金、应收申购款等。</w:t>
      </w:r>
    </w:p>
    <w:p w14:paraId="45493927" w14:textId="0435BF4F" w:rsidR="00B9702D" w:rsidRPr="00B9702D" w:rsidRDefault="00B9702D" w:rsidP="00B9702D">
      <w:pPr>
        <w:spacing w:line="360" w:lineRule="auto"/>
        <w:ind w:firstLineChars="200" w:firstLine="420"/>
        <w:rPr>
          <w:rFonts w:ascii="宋体" w:hAnsi="宋体"/>
          <w:bCs/>
          <w:szCs w:val="21"/>
        </w:rPr>
      </w:pPr>
      <w:r w:rsidRPr="00B9702D">
        <w:rPr>
          <w:rFonts w:ascii="宋体" w:hAnsi="宋体" w:hint="eastAsia"/>
          <w:bCs/>
          <w:szCs w:val="21"/>
        </w:rPr>
        <w:t>如法律法规或监管机构变更投资品种的投资比例限制，基金管理人在履行适当程序后，可以调整上述投资品种的投资比例。</w:t>
      </w:r>
    </w:p>
    <w:p w14:paraId="23FEDF0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三、投资策略</w:t>
      </w:r>
    </w:p>
    <w:p w14:paraId="03BEA08E" w14:textId="3F89D1F0"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本基金为</w:t>
      </w:r>
      <w:r w:rsidR="00DA28F0">
        <w:rPr>
          <w:rFonts w:ascii="宋体" w:hAnsi="宋体" w:hint="eastAsia"/>
          <w:szCs w:val="21"/>
        </w:rPr>
        <w:t>完全</w:t>
      </w:r>
      <w:r w:rsidRPr="00425D2B">
        <w:rPr>
          <w:rFonts w:ascii="宋体" w:hAnsi="宋体" w:hint="eastAsia"/>
          <w:szCs w:val="21"/>
        </w:rPr>
        <w:t>被动式指数基金，主要投资于目标ETF。本基金并不参与目标ETF的管理。在正常市场情况下，本基金力争净值增长率与业绩比较基准之间的日均跟踪偏离度不超过0.35%，年跟踪误差不超过4%。如因指数编制规则调整或其他因素导致跟踪偏离度和跟踪误差超过上述范围，基金管理人应采取合理措施避免跟踪偏离度、跟踪误差进一步扩大。</w:t>
      </w:r>
    </w:p>
    <w:p w14:paraId="432223F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1、资产配置策略</w:t>
      </w:r>
    </w:p>
    <w:p w14:paraId="0FCB1719"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为实现紧密跟踪标的指数的投资目标，本基金将以不低于基金资产净值90%的资产投资于目标ETF。为更好地实现投资目标，本基金可少量投资于非成份股、债券、资产支持证券、债券回购、银行存款、货币市场工具、股指期货、股票期权等以及经中国证监会允许基金投资的其他金融工具，但需符合中国证监会的相关规定。</w:t>
      </w:r>
    </w:p>
    <w:p w14:paraId="7D41D56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2、目标ETF投资策略</w:t>
      </w:r>
    </w:p>
    <w:p w14:paraId="61A58B0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本基金投资目标ETF的方式如下：</w:t>
      </w:r>
    </w:p>
    <w:p w14:paraId="26D3F3BF"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（1）申购和赎回：目标ETF开放申购赎回后，以股票组合进行申购赎回或者按照目标ETF法律文件的约定以其他方式申赎目标ETF。</w:t>
      </w:r>
    </w:p>
    <w:p w14:paraId="2C3ABC8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（2）二级市场方式：目标ETF上市交易后，在二级市场进行目标ETF基金份额的交易。</w:t>
      </w:r>
    </w:p>
    <w:p w14:paraId="64606914"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当目标ETF申购、赎回或交易模式进行了变更或调整，本基金也将作相应的变更或调整，无须召开基金份额持有人大会。</w:t>
      </w:r>
    </w:p>
    <w:p w14:paraId="61AC07C5"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3、成份股、备选成份股投资策略</w:t>
      </w:r>
    </w:p>
    <w:p w14:paraId="1FB2F2CD" w14:textId="229B79D4" w:rsidR="00425D2B" w:rsidRPr="00425D2B" w:rsidRDefault="0000314C" w:rsidP="00425D2B">
      <w:pPr>
        <w:spacing w:line="360" w:lineRule="auto"/>
        <w:ind w:firstLineChars="200" w:firstLine="420"/>
        <w:rPr>
          <w:rFonts w:ascii="宋体" w:hAnsi="宋体"/>
          <w:szCs w:val="21"/>
        </w:rPr>
      </w:pPr>
      <w:r w:rsidRPr="0000314C">
        <w:rPr>
          <w:rFonts w:ascii="宋体" w:hAnsi="宋体" w:hint="eastAsia"/>
          <w:szCs w:val="21"/>
        </w:rPr>
        <w:lastRenderedPageBreak/>
        <w:t>本基金可以通过投资成份股、备选成份股以跟踪标的指数，也可以通过投资成份股、备选成份股构建股票组合以申购目标ETF。但在因特殊情况（如流动性不足等）导致无法获得足够数量的股票时，基金管理人将搭配使用其他合理方法进行适当的替代。</w:t>
      </w:r>
    </w:p>
    <w:p w14:paraId="2F195AF8"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4、金融衍生品投资策略</w:t>
      </w:r>
    </w:p>
    <w:p w14:paraId="7AC3B448"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为更好地实现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p>
    <w:p w14:paraId="40E82657"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（1）股指期货投资策略</w:t>
      </w:r>
    </w:p>
    <w:p w14:paraId="2513BEEF" w14:textId="4BE74076"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投资股指期货将根据风险管理的原则，以套期保值为目的，主要选择流动性好、交易活跃的股指期货合约。本基金力争利用股指期货，降低股票仓位频繁调整的交易成本和跟踪误差，达到有效跟踪标的指数的目的。</w:t>
      </w:r>
    </w:p>
    <w:p w14:paraId="01909CD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（2）股票期权投资策略</w:t>
      </w:r>
    </w:p>
    <w:p w14:paraId="23DC7DB4" w14:textId="315CB69A" w:rsid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本基金投资股票期权，将根据风险管理的原则，以套期保值为目的，充分考虑股票期权的流动性和风险收益特征。</w:t>
      </w:r>
    </w:p>
    <w:p w14:paraId="4CD5EDAA" w14:textId="2D456DC8" w:rsidR="00DF2CE7" w:rsidRPr="00425D2B" w:rsidRDefault="00DF2CE7" w:rsidP="00425D2B">
      <w:pPr>
        <w:spacing w:line="360" w:lineRule="auto"/>
        <w:ind w:firstLineChars="200" w:firstLine="420"/>
        <w:rPr>
          <w:rFonts w:ascii="宋体" w:hAnsi="宋体"/>
          <w:szCs w:val="21"/>
        </w:rPr>
      </w:pPr>
      <w:r w:rsidRPr="00DF2CE7">
        <w:rPr>
          <w:rFonts w:ascii="宋体" w:hAnsi="宋体" w:hint="eastAsia"/>
          <w:szCs w:val="21"/>
        </w:rPr>
        <w:t>待基金参与股指期权或其他期权品种的相关规定颁布后，基金管理人可以在不改变本基金既有投资策略和风险收益特征并有效控制风险的前提下，参与该类业务，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不利影响的情况下，无需召开基金份额持有人大会。</w:t>
      </w:r>
    </w:p>
    <w:p w14:paraId="5CCF2753"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5、债券投资策略</w:t>
      </w:r>
    </w:p>
    <w:p w14:paraId="122484B1"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p>
    <w:p w14:paraId="1E033AE4"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6、可转换债券及可交换债券投资策略</w:t>
      </w:r>
    </w:p>
    <w:p w14:paraId="7CF70654"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在可转换债券和可交换债券投资中预期运用仓位策略、类属策略、个券挖掘策略、条款价值策略、行权套利策略等多种策略，构建风险收益比佳、基本面稳健的组合。其中仓位策略和类属策略，将根据基本面环境、股债性价比，确定整体仓位水平、偏股型和偏债型可转债占比。个券挖掘策略，从基本面视角来挖掘可转债的机会，选择基本面景气向上、估值不高的偏股型转债作为获取超额收益的品种。条款价值策略，即深入分析修正转股价条款、</w:t>
      </w:r>
      <w:r w:rsidRPr="00425D2B">
        <w:rPr>
          <w:rFonts w:ascii="宋体" w:hAnsi="宋体" w:hint="eastAsia"/>
          <w:szCs w:val="21"/>
        </w:rPr>
        <w:lastRenderedPageBreak/>
        <w:t>回售条款和赎回条款等对转债价值的影响，挖掘各条款对应的投资机会。行权套利策略，可转债具备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2BBACBF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7、资产支持证券投资策略</w:t>
      </w:r>
    </w:p>
    <w:p w14:paraId="38306BF9"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资产支持证券投资关键在于对基础资产质量及未来现金流的分析，本基金将采用基本面分析和数量化模型相结合，对个券进行风险分析和价值评估后进行投资。本基金将严格控制资产支持证券的总体投资规模并进行分散投资，以降低流动性风险。</w:t>
      </w:r>
    </w:p>
    <w:p w14:paraId="34AAF8B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8、融资及转融通证券出借业务投资策略</w:t>
      </w:r>
    </w:p>
    <w:p w14:paraId="1E1536D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为更好地实现投资目标，在加强风险防范并遵守审慎原则的前提下，本基金可根据投资管理的需要参与融资及转融通证券出借业务。本基金将在分析市场情况、投资者类型与结构、基金历史申赎情况、出借证券流动性情况等因素的基础上,合理确定出借证券的范围、期限和比例。</w:t>
      </w:r>
    </w:p>
    <w:p w14:paraId="2EE68BB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9、存托凭证投资策略</w:t>
      </w:r>
    </w:p>
    <w:p w14:paraId="5D8A8D4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本基金在综合考虑预期收益、风险、流动性等因素的基础上，根据审慎原则合理参与存托凭证的投资，以更好地跟踪标的指数，追求与业绩比较基准相似的回报。</w:t>
      </w:r>
    </w:p>
    <w:p w14:paraId="275A8D33"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57E79E0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四、投资限制</w:t>
      </w:r>
    </w:p>
    <w:p w14:paraId="6BA6CE88"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1、组合限制</w:t>
      </w:r>
    </w:p>
    <w:p w14:paraId="794E1CA2"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基金的投资组合应遵循以下限制：</w:t>
      </w:r>
    </w:p>
    <w:p w14:paraId="44AD5BF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（1）本基金投资于目标ETF的比例不低于基金资产净值的90%；</w:t>
      </w:r>
    </w:p>
    <w:p w14:paraId="49AE59A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（2）每个交易日日终在扣除金融衍生品合约需缴纳的交易保证金后，现金或到期日在一年以内的政府债券的投资比例不低于基金资产净值的5％，其中现金不包括结算备付金、存出保证金、应收申购款等；</w:t>
      </w:r>
    </w:p>
    <w:p w14:paraId="40B2B26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（3）本基金投资于同一原始权益人的各类资产支持证券的比例，不得超过基金资产净值的10％；</w:t>
      </w:r>
    </w:p>
    <w:p w14:paraId="2273565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（4）本基金持有的全部资产支持证券，其市值不得超过基金资产净值的20％；</w:t>
      </w:r>
    </w:p>
    <w:p w14:paraId="3DC311A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lastRenderedPageBreak/>
        <w:t>（5）本基金持有的同一(指同一信用级别)资产支持证券的比例，不得超过该资产支持证券规模的10％；</w:t>
      </w:r>
    </w:p>
    <w:p w14:paraId="7F8A192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（6）本基金管理人管理的全部基金投资于同一原始权益人的各类资产支持证券，不得超过其各类资产支持证券合计规模的10％；</w:t>
      </w:r>
    </w:p>
    <w:p w14:paraId="6FF3B7F2"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（7）本基金应投资于信用级别评级为BBB以上(含BBB)的资产支持证券。基金持有资产支持证券期间，如果其信用等级下降、不再符合投资标准，应在评级报告发布之日起3个月内予以全部卖出；</w:t>
      </w:r>
    </w:p>
    <w:p w14:paraId="73E4A38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（8）基金财产参与股票发行申购，本基金所申报的金额不超过本基金的总资产，本基金所申报的股票数量不超过拟发行股票公司本次发行股票的总量；</w:t>
      </w:r>
    </w:p>
    <w:p w14:paraId="2562E33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9）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5DB4699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（10）本基金与私募类证券资管产品及中国证监会认定的其他主体为交易对手开展逆回购交易的，可接受质押品的资质要求应当与基金合同约定的投资范围保持一致；</w:t>
      </w:r>
    </w:p>
    <w:p w14:paraId="6D446654"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（11）本基金资产总值不超过基金资产净值的140%；</w:t>
      </w:r>
    </w:p>
    <w:p w14:paraId="74168A7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（12）本基金参与股指期货交易，应当符合下列投资限制：</w:t>
      </w:r>
    </w:p>
    <w:p w14:paraId="1FCBE5DB"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1）本基金在任何交易日日终，持有的买入股指期货合约价值，不得超过基金资产净值的10%；</w:t>
      </w:r>
    </w:p>
    <w:p w14:paraId="6C3DD38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1AE9D5F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3）本基金在任何交易日日终，持有的卖出股指期货合约价值不得超过基金持有的股票总市值的20%；</w:t>
      </w:r>
    </w:p>
    <w:p w14:paraId="17C317D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4）本基金所持有的股票市值和买入、卖出股指期货合约价值，合计（轧差计算）应当符合基金合同关于股票投资比例的有关约定；</w:t>
      </w:r>
    </w:p>
    <w:p w14:paraId="327741AB"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5）本基金在任何交易日内交易（不包括平仓）的股指期货合约的成交金额不得超过上一交易日基金资产净值的20%；</w:t>
      </w:r>
    </w:p>
    <w:p w14:paraId="241F026F"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（13）本基金参与股票期权交易，应当符合下列投资限制：</w:t>
      </w:r>
    </w:p>
    <w:p w14:paraId="54AD1079"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1）基金因未平仓的期权合约支付和收取的权利金总额不得超过基金资产净值的10%；</w:t>
      </w:r>
    </w:p>
    <w:p w14:paraId="0E5DDBF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2）开仓卖出认购期权的，应持有足额标的证券；开仓卖出认沽期权的，应持有合约行</w:t>
      </w:r>
      <w:r w:rsidRPr="00425D2B">
        <w:rPr>
          <w:rFonts w:ascii="宋体" w:hAnsi="宋体" w:hint="eastAsia"/>
          <w:szCs w:val="21"/>
        </w:rPr>
        <w:lastRenderedPageBreak/>
        <w:t>权所需的全额现金或交易所规则认可的可冲抵期权保证金的现金等价物；</w:t>
      </w:r>
    </w:p>
    <w:p w14:paraId="41CD06D9"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3）未平仓的期权合约面值不得超过基金资产净值的20%。其中，合约面值按照行权价乘以合约乘数计算；</w:t>
      </w:r>
    </w:p>
    <w:p w14:paraId="718C846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（14）本基金参与转融通证券出借业务的，应当符合下列要求：</w:t>
      </w:r>
    </w:p>
    <w:p w14:paraId="36C14262"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1）本基金在任何交易日日终，参与转融通证券出借业务的资产不得超过基金资产净值的30%，其中出借期限在10个交易日以上的出借证券应纳入《流动性风险管理规定》所述流动性受限证券的范围；</w:t>
      </w:r>
    </w:p>
    <w:p w14:paraId="2F1C7BF3"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2）本基金在任何交易日日终，参与出借业务的单只证券不得超过基金持有该证券总量的50%；</w:t>
      </w:r>
    </w:p>
    <w:p w14:paraId="72CBE4A7"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3）证券出借的平均剩余期限不得超过30天，平均剩余期限按市值加权平均计算；</w:t>
      </w:r>
    </w:p>
    <w:p w14:paraId="130FD089"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4）最近6个月内日均基金资产净值不得低于2亿元；</w:t>
      </w:r>
    </w:p>
    <w:p w14:paraId="60BFC09B"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（15）本基金投资存托凭证的比例限制依照境内上市交易的股票执行，与境内上市交易的股票合并计算，法律法规或监管部门另有要求的除外；</w:t>
      </w:r>
    </w:p>
    <w:p w14:paraId="374CD3E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（16）法律法规及中国证监会规定的和《基金合同》约定的其他投资限制。</w:t>
      </w:r>
    </w:p>
    <w:p w14:paraId="196AE7D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因证券/期货市场波动、证券发行人合并、基金规模变动、标的指数成份股调整、标的指数成份股流动性限制、目标ETF暂停申购、赎回或二级市场交易停牌等基金管理人之外的因素致使基金投资比例不符合上述第（1）项规定投资比例的，基金管理人应当在20个交易日内进行调整，但中国证监会规定的特殊情形除外；除上述第（1）、（2）、（7）、（9）、（10）、（14）项另有约定外，因证券/期货市场波动、证券发行人合并、基金规模变动、标的指数成份股调整、标的指数成份股流动性限制、目标 ETF 暂停申购、赎回或二级市场交易停牌等基金管理人之外的因素致使基金投资比例不符合上述规定投资比例的，基金管理人应当在10个交易日内进行调整，但中国证监会规定的特殊情形除外。法律法规另有规定的，从其规定。</w:t>
      </w:r>
    </w:p>
    <w:p w14:paraId="354DEF0A"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本基金参与转融通证券出借业务，因证券/期货市场波动、证券发行人合并、基金规模变动等基金管理人之外的因素致使基金投资不符合上述第（14）项规定的，基金管理人不得新增出借业务。</w:t>
      </w:r>
    </w:p>
    <w:p w14:paraId="09D81FB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基金管理人应当自基金合同生效之日起6个月内使基金的投资组合比例符合基金合同的有关约定。在上述期间内，本基金的投资范围、投资策略应当符合基金合同的约定。基金托管人对基金的投资的监督与检查自基金合同生效之日起开始。</w:t>
      </w:r>
    </w:p>
    <w:p w14:paraId="4346459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如法律法规或监管部门对上述投资组合比例限制进行变更的，以变更后的规定为准。法</w:t>
      </w:r>
      <w:r w:rsidRPr="00425D2B">
        <w:rPr>
          <w:rFonts w:ascii="宋体" w:hAnsi="宋体" w:hint="eastAsia"/>
          <w:szCs w:val="21"/>
        </w:rPr>
        <w:lastRenderedPageBreak/>
        <w:t>律法规或监管部门取消上述限制，如适用于本基金，基金管理人在履行适当程序后，则本基金投资不再受相关限制。</w:t>
      </w:r>
    </w:p>
    <w:p w14:paraId="79E97B7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2、禁止行为</w:t>
      </w:r>
    </w:p>
    <w:p w14:paraId="0D325F7F"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为维护基金份额持有人的合法权益，基金财产不得用于下列投资或者活动：</w:t>
      </w:r>
    </w:p>
    <w:p w14:paraId="608647E7"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（1）承销证券；</w:t>
      </w:r>
    </w:p>
    <w:p w14:paraId="1A814EA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（2）违反规定向他人贷款或者提供担保；</w:t>
      </w:r>
    </w:p>
    <w:p w14:paraId="6DB3E995"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（3）从事承担无限责任的投资；</w:t>
      </w:r>
    </w:p>
    <w:p w14:paraId="2A14F5D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（4）买卖除目标ETF以外的其他基金份额，但是中国证监会另有规定的除外；</w:t>
      </w:r>
    </w:p>
    <w:p w14:paraId="0126E9A2"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 xml:space="preserve">（5）向其基金管理人、基金托管人出资； </w:t>
      </w:r>
    </w:p>
    <w:p w14:paraId="4CDDA0C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 xml:space="preserve">（6）从事内幕交易、操纵证券交易价格及其他不正当的证券交易活动； </w:t>
      </w:r>
    </w:p>
    <w:p w14:paraId="6D6CC8BB"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（7）法律、行政法规和中国证监会规定禁止的其他活动。</w:t>
      </w:r>
    </w:p>
    <w:p w14:paraId="015D9138"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D98B861"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如法律、行政法规或监管部门取消或变更上述限制，如适用于本基金，基金管理人在履行适当程序后，则本基金投资不再受相关限制或按变更后的规定执行。</w:t>
      </w:r>
    </w:p>
    <w:p w14:paraId="66E6536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五、标的指数和业绩比较基准</w:t>
      </w:r>
    </w:p>
    <w:p w14:paraId="2D1B8172" w14:textId="0C59684C"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本基金的标的指数为</w:t>
      </w:r>
      <w:r w:rsidR="000F5270">
        <w:rPr>
          <w:rFonts w:ascii="宋体" w:hAnsi="宋体" w:hint="eastAsia"/>
          <w:szCs w:val="21"/>
        </w:rPr>
        <w:t>{{指数名称}}</w:t>
      </w:r>
      <w:r w:rsidRPr="00425D2B">
        <w:rPr>
          <w:rFonts w:ascii="宋体" w:hAnsi="宋体" w:hint="eastAsia"/>
          <w:szCs w:val="21"/>
        </w:rPr>
        <w:t>指数。</w:t>
      </w:r>
    </w:p>
    <w:p w14:paraId="1341CE21" w14:textId="6144F6A8" w:rsidR="00425D2B" w:rsidRPr="00425D2B" w:rsidRDefault="00425D2B" w:rsidP="00425D2B">
      <w:pPr>
        <w:spacing w:line="360" w:lineRule="auto"/>
        <w:ind w:firstLineChars="200" w:firstLine="420"/>
        <w:rPr>
          <w:rFonts w:ascii="宋体" w:hAnsi="宋体"/>
          <w:szCs w:val="21"/>
        </w:rPr>
      </w:pPr>
      <w:bookmarkStart w:id="5" w:name="_Hlk143778171"/>
      <w:r w:rsidRPr="00425D2B">
        <w:rPr>
          <w:rFonts w:ascii="宋体" w:hAnsi="宋体" w:hint="eastAsia"/>
          <w:szCs w:val="21"/>
        </w:rPr>
        <w:t>本基金业绩比较基准为</w:t>
      </w:r>
      <w:r w:rsidR="000F5270">
        <w:rPr>
          <w:rFonts w:ascii="宋体" w:hAnsi="宋体" w:hint="eastAsia"/>
          <w:szCs w:val="21"/>
        </w:rPr>
        <w:t>{{指数名称}}</w:t>
      </w:r>
      <w:r w:rsidRPr="00425D2B">
        <w:rPr>
          <w:rFonts w:ascii="宋体" w:hAnsi="宋体" w:hint="eastAsia"/>
          <w:szCs w:val="21"/>
        </w:rPr>
        <w:t>指数收益率×95%+</w:t>
      </w:r>
      <w:r w:rsidR="00DF2CE7">
        <w:rPr>
          <w:rFonts w:ascii="宋体" w:hAnsi="宋体" w:hint="eastAsia"/>
          <w:szCs w:val="21"/>
        </w:rPr>
        <w:t>人民币</w:t>
      </w:r>
      <w:r w:rsidRPr="00425D2B">
        <w:rPr>
          <w:rFonts w:ascii="宋体" w:hAnsi="宋体" w:hint="eastAsia"/>
          <w:szCs w:val="21"/>
        </w:rPr>
        <w:t>活期存款</w:t>
      </w:r>
      <w:r w:rsidR="00DF2CE7">
        <w:rPr>
          <w:rFonts w:ascii="宋体" w:hAnsi="宋体" w:hint="eastAsia"/>
          <w:szCs w:val="21"/>
        </w:rPr>
        <w:t>基准</w:t>
      </w:r>
      <w:r w:rsidRPr="00425D2B">
        <w:rPr>
          <w:rFonts w:ascii="宋体" w:hAnsi="宋体" w:hint="eastAsia"/>
          <w:szCs w:val="21"/>
        </w:rPr>
        <w:t>利率（税后）×5%。</w:t>
      </w:r>
    </w:p>
    <w:bookmarkEnd w:id="5"/>
    <w:p w14:paraId="5E8D880D"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投资于目标ETF的比例不低于基金资产净值的90%。每个交易日日终在扣除金融衍生品合约需缴纳的交易保证金后，现金或到期日在一年以内的政府债券的投资比例不低于基金资产净值的5%，其中现金不包括结算备付金、存出保证金、应收申购款等。业绩比较基准与投资比例相符。</w:t>
      </w:r>
    </w:p>
    <w:p w14:paraId="76A9402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未来若出现标的指数不符合要求（因成份股价格波动等指数编制方法变动之外的因素致使标的指数不符合要求的情形除外）、指数编制机构退出等情形，基金管理人应当自该情形</w:t>
      </w:r>
      <w:r w:rsidRPr="00425D2B">
        <w:rPr>
          <w:rFonts w:ascii="宋体" w:hAnsi="宋体" w:hint="eastAsia"/>
          <w:szCs w:val="21"/>
        </w:rPr>
        <w:lastRenderedPageBreak/>
        <w:t>发生之日起十个工作日向中国证监会报告并提出解决方案，如更换基金标的指数、转换运作方式、与其他基金合并或者终止基金合同等，并在6个月内召集基金份额持有人大会进行表决，基金份额持有人大会未成功召开或就上述事项表决未通过的，基金合同终止，但下文“八、目标ETF发生相关变更情形时的处理”另有约定的除外。</w:t>
      </w:r>
    </w:p>
    <w:p w14:paraId="560FD5F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自指数编制机构停止标的指数的编制及发布至解决方案确定期间，基金管理人应按照指数编制机构提供的最近一个交易日的指数信息遵循基金份额持有人利益优先原则维持基金投资运作。</w:t>
      </w:r>
    </w:p>
    <w:p w14:paraId="388F3F11"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法律法规或监管机构另有规定的，从其规定。</w:t>
      </w:r>
    </w:p>
    <w:p w14:paraId="6A7331B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六、风险收益特征</w:t>
      </w:r>
    </w:p>
    <w:p w14:paraId="6046F858" w14:textId="386DF2BE"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本基金的目标ETF为股票型基金，一般而言，其长期平均风险与预期收益高于混合型基金、债券型基金与货币市场基金。本基金为ETF联接基金，通过投资于目标ETF跟踪标的指数表现，具有与标的指数以及标的指数所代表的市场相似的风险收益特征。</w:t>
      </w:r>
      <w:r w:rsidR="000F5270">
        <w:rPr>
          <w:rFonts w:ascii="宋体" w:hAnsi="宋体" w:hint="eastAsia"/>
          <w:szCs w:val="21"/>
        </w:rPr>
        <w:t>{{科创板收益特征}}</w:t>
      </w:r>
    </w:p>
    <w:p w14:paraId="1DB23105"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七、基金管理人代表基金行使股东或债权人权利的处理原则及方法</w:t>
      </w:r>
    </w:p>
    <w:p w14:paraId="580F599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 xml:space="preserve">1、基金管理人按照国家有关规定代表基金独立行使股东或债权人权利，保护基金份额持有人的利益； </w:t>
      </w:r>
    </w:p>
    <w:p w14:paraId="5FEDE334"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 xml:space="preserve">2、不谋求对上市公司的控股； </w:t>
      </w:r>
    </w:p>
    <w:p w14:paraId="443235CE"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 xml:space="preserve">3、有利于基金财产的安全与增值； </w:t>
      </w:r>
    </w:p>
    <w:p w14:paraId="5546F999"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4、不通过关联交易为自身、雇员、授权代理人或任何存在利害关系的第三人牟取任何不当利益。</w:t>
      </w:r>
    </w:p>
    <w:p w14:paraId="1EE253A7"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八、目标ETF发生相关变更情形时的处理</w:t>
      </w:r>
    </w:p>
    <w:p w14:paraId="6BAFE4D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目标ETF出现下述情形之一的，本基金将由投资于目标ETF的联接基金变更为直接投资该标的指数的指数基金，无需召开基金份额持有人大会；若届时本基金管理人已有以该指数作为标的指数的指数基金，则本基金将本着维护投资人合法权益的原则，履行适当的程序后选取其他合适的指数作为标的指数。相应地，本基金基金合同中将删除关于目标ETF的表述部分，或将变更标的指数，届时将由基金管理人另行公告。</w:t>
      </w:r>
    </w:p>
    <w:p w14:paraId="55E9F3C6"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1、目标ETF交易方式发生重大变更致使本基金的投资策略难以实现；</w:t>
      </w:r>
    </w:p>
    <w:p w14:paraId="0B39E8A5"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2、目标ETF终止上市；</w:t>
      </w:r>
    </w:p>
    <w:p w14:paraId="479EC321"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3、目标ETF基金合同终止；</w:t>
      </w:r>
    </w:p>
    <w:p w14:paraId="30B0A3E1"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4、目标ETF的基金管理人发生变更（但变更后的本基金与目标ETF的基金管理人相同</w:t>
      </w:r>
      <w:r w:rsidRPr="00425D2B">
        <w:rPr>
          <w:rFonts w:ascii="宋体" w:hAnsi="宋体" w:hint="eastAsia"/>
          <w:szCs w:val="21"/>
        </w:rPr>
        <w:lastRenderedPageBreak/>
        <w:t>的除外）。</w:t>
      </w:r>
    </w:p>
    <w:p w14:paraId="038BAEE2"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若目标ETF变更标的指数，本基金将在履行适当程序后相应变更标的指数且继续投资于该目标ETF。但目标ETF召开基金份额持有人大会审议变更目标ETF标的指数事项的，本基金的基金份额持有人可出席目标ETF基金份额持有人大会并进行表决，目标ETF基金份额持有人大会审议通过变更标的指数事项的，本基金可不召开基金份额持有人大会相应变更标的指数并仍为该目标ETF的联接基金。</w:t>
      </w:r>
    </w:p>
    <w:p w14:paraId="20C0B3CC"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九、侧袋机制的实施和投资运作安排</w:t>
      </w:r>
    </w:p>
    <w:p w14:paraId="1BBE6C95"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735850F0" w14:textId="77777777" w:rsidR="00425D2B" w:rsidRPr="00425D2B" w:rsidRDefault="00425D2B" w:rsidP="00425D2B">
      <w:pPr>
        <w:spacing w:line="360" w:lineRule="auto"/>
        <w:ind w:firstLineChars="200" w:firstLine="420"/>
        <w:rPr>
          <w:rFonts w:ascii="宋体" w:hAnsi="宋体"/>
          <w:szCs w:val="21"/>
        </w:rPr>
      </w:pPr>
      <w:r w:rsidRPr="00425D2B">
        <w:rPr>
          <w:rFonts w:ascii="宋体" w:hAnsi="宋体" w:hint="eastAsia"/>
          <w:szCs w:val="21"/>
        </w:rPr>
        <w:t>侧袋机制实施期间，本部分约定的投资组合比例、投资策略、组合限制、业绩比较基准、风险收益特征等约定仅适用于主袋账户。</w:t>
      </w:r>
    </w:p>
    <w:p w14:paraId="59524B19" w14:textId="20D24A74" w:rsidR="00425D2B" w:rsidRPr="004D6499" w:rsidRDefault="00425D2B" w:rsidP="00425D2B">
      <w:pPr>
        <w:spacing w:line="360" w:lineRule="auto"/>
        <w:ind w:firstLineChars="200" w:firstLine="420"/>
        <w:rPr>
          <w:rFonts w:ascii="宋体" w:hAnsi="宋体"/>
          <w:szCs w:val="21"/>
        </w:rPr>
      </w:pPr>
      <w:r w:rsidRPr="00425D2B">
        <w:rPr>
          <w:rFonts w:ascii="宋体" w:hAnsi="宋体" w:hint="eastAsia"/>
          <w:szCs w:val="21"/>
        </w:rPr>
        <w:t>侧袋账户的实施条件、实施程序、运作安排、投资安排、特定资产的处置变现和支付等对投资者权益有重大影响的事项详见招募说明书的规定。</w:t>
      </w:r>
    </w:p>
    <w:p w14:paraId="2FB03AC5" w14:textId="77777777" w:rsidR="00680D06" w:rsidRPr="00805A0F" w:rsidRDefault="00680D06" w:rsidP="004D6499">
      <w:pPr>
        <w:spacing w:line="360" w:lineRule="auto"/>
        <w:ind w:firstLineChars="200" w:firstLine="420"/>
        <w:rPr>
          <w:rFonts w:ascii="宋体" w:hAnsi="宋体"/>
          <w:szCs w:val="21"/>
        </w:rPr>
      </w:pPr>
    </w:p>
    <w:p w14:paraId="16CB5AC8" w14:textId="77777777" w:rsidR="00960490" w:rsidRPr="00C05A75" w:rsidRDefault="00960490" w:rsidP="00960490">
      <w:pPr>
        <w:snapToGrid w:val="0"/>
        <w:spacing w:line="360" w:lineRule="auto"/>
        <w:ind w:firstLineChars="200" w:firstLine="422"/>
        <w:outlineLvl w:val="0"/>
        <w:rPr>
          <w:rFonts w:ascii="宋体" w:hAnsi="宋体"/>
          <w:b/>
        </w:rPr>
      </w:pPr>
      <w:r w:rsidRPr="00C05A75">
        <w:rPr>
          <w:rFonts w:ascii="宋体" w:hAnsi="宋体" w:hint="eastAsia"/>
          <w:b/>
        </w:rPr>
        <w:t>五、</w:t>
      </w:r>
      <w:r w:rsidRPr="00C05A75">
        <w:rPr>
          <w:rFonts w:ascii="宋体" w:hAnsi="宋体"/>
          <w:b/>
        </w:rPr>
        <w:t>基金经理</w:t>
      </w:r>
    </w:p>
    <w:p w14:paraId="1996AA10" w14:textId="1FD32491" w:rsidR="00D0373E" w:rsidRDefault="000F5270" w:rsidP="00960490">
      <w:pPr>
        <w:pStyle w:val="2"/>
        <w:snapToGrid w:val="0"/>
        <w:ind w:firstLine="420"/>
        <w:rPr>
          <w:rFonts w:ascii="宋体" w:eastAsia="宋体" w:hAnsi="宋体"/>
          <w:sz w:val="21"/>
          <w:szCs w:val="21"/>
        </w:rPr>
      </w:pPr>
      <w:r>
        <w:rPr>
          <w:rFonts w:ascii="宋体" w:eastAsia="宋体" w:hAnsi="宋体" w:hint="eastAsia"/>
          <w:sz w:val="21"/>
          <w:szCs w:val="21"/>
        </w:rPr>
        <w:t>{{基金经理}}</w:t>
      </w:r>
    </w:p>
    <w:p w14:paraId="500D5F94" w14:textId="77777777" w:rsidR="00A77E35" w:rsidRDefault="00A77E35" w:rsidP="00960490">
      <w:pPr>
        <w:pStyle w:val="2"/>
        <w:snapToGrid w:val="0"/>
        <w:ind w:firstLine="420"/>
        <w:rPr>
          <w:rFonts w:ascii="宋体" w:eastAsia="宋体" w:hAnsi="宋体"/>
          <w:sz w:val="21"/>
          <w:szCs w:val="21"/>
        </w:rPr>
      </w:pPr>
    </w:p>
    <w:p w14:paraId="1C171409" w14:textId="77777777" w:rsidR="009561DF" w:rsidRPr="006536AE" w:rsidRDefault="00960490" w:rsidP="009561DF">
      <w:pPr>
        <w:snapToGrid w:val="0"/>
        <w:spacing w:line="360" w:lineRule="auto"/>
        <w:ind w:firstLineChars="200" w:firstLine="422"/>
        <w:outlineLvl w:val="0"/>
        <w:rPr>
          <w:rFonts w:ascii="宋体" w:hAnsi="宋体"/>
          <w:b/>
        </w:rPr>
      </w:pPr>
      <w:r w:rsidRPr="00C05A75">
        <w:rPr>
          <w:rFonts w:ascii="宋体" w:hAnsi="宋体" w:hint="eastAsia"/>
          <w:b/>
        </w:rPr>
        <w:t>六、</w:t>
      </w:r>
      <w:r w:rsidRPr="00C05A75">
        <w:rPr>
          <w:rFonts w:ascii="宋体" w:hAnsi="宋体"/>
          <w:b/>
        </w:rPr>
        <w:t>指数介绍</w:t>
      </w:r>
    </w:p>
    <w:tbl>
      <w:tblPr>
        <w:tblW w:w="9180" w:type="dxa"/>
        <w:tblCellMar>
          <w:left w:w="0" w:type="dxa"/>
          <w:right w:w="0" w:type="dxa"/>
        </w:tblCellMar>
        <w:tblLook w:val="0420" w:firstRow="1" w:lastRow="0" w:firstColumn="0" w:lastColumn="0" w:noHBand="0" w:noVBand="1"/>
      </w:tblPr>
      <w:tblGrid>
        <w:gridCol w:w="1550"/>
        <w:gridCol w:w="7630"/>
      </w:tblGrid>
      <w:tr w:rsidR="00DF2CE7" w:rsidRPr="009214A7" w14:paraId="00A58571" w14:textId="77777777" w:rsidTr="002B406E">
        <w:trPr>
          <w:trHeight w:val="18"/>
        </w:trPr>
        <w:tc>
          <w:tcPr>
            <w:tcW w:w="155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59DF7F25" w14:textId="77777777" w:rsidR="00DF2CE7" w:rsidRPr="009214A7" w:rsidRDefault="00DF2CE7" w:rsidP="002B406E">
            <w:pPr>
              <w:widowControl/>
              <w:jc w:val="center"/>
              <w:rPr>
                <w:rFonts w:ascii="宋体" w:hAnsi="宋体" w:cs="Arial"/>
                <w:kern w:val="0"/>
                <w:sz w:val="20"/>
                <w:szCs w:val="18"/>
              </w:rPr>
            </w:pPr>
            <w:r w:rsidRPr="009214A7">
              <w:rPr>
                <w:rFonts w:ascii="宋体" w:hAnsi="宋体" w:cstheme="minorBidi" w:hint="eastAsia"/>
                <w:b/>
                <w:bCs/>
                <w:color w:val="FFFFFF" w:themeColor="light1"/>
                <w:kern w:val="24"/>
                <w:sz w:val="20"/>
                <w:szCs w:val="18"/>
              </w:rPr>
              <w:t>编制方法</w:t>
            </w:r>
          </w:p>
        </w:tc>
        <w:tc>
          <w:tcPr>
            <w:tcW w:w="763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6E1D99E3" w14:textId="5FEF3C15" w:rsidR="00DF2CE7" w:rsidRPr="009214A7" w:rsidRDefault="000F5270" w:rsidP="002B406E">
            <w:pPr>
              <w:widowControl/>
              <w:jc w:val="center"/>
              <w:rPr>
                <w:rFonts w:ascii="宋体" w:hAnsi="宋体" w:cs="Arial"/>
                <w:kern w:val="0"/>
                <w:sz w:val="20"/>
                <w:szCs w:val="18"/>
              </w:rPr>
            </w:pPr>
            <w:r>
              <w:rPr>
                <w:rFonts w:ascii="宋体" w:hAnsi="宋体" w:cstheme="minorBidi" w:hint="eastAsia"/>
                <w:b/>
                <w:bCs/>
                <w:color w:val="FFFFFF" w:themeColor="light1"/>
                <w:kern w:val="24"/>
                <w:sz w:val="20"/>
                <w:szCs w:val="18"/>
              </w:rPr>
              <w:t>{{指数名称}}</w:t>
            </w:r>
            <w:r w:rsidR="00DF2CE7" w:rsidRPr="0067038E">
              <w:rPr>
                <w:rFonts w:ascii="宋体" w:hAnsi="宋体" w:cstheme="minorBidi" w:hint="eastAsia"/>
                <w:b/>
                <w:bCs/>
                <w:color w:val="FFFFFF" w:themeColor="light1"/>
                <w:kern w:val="24"/>
                <w:sz w:val="20"/>
                <w:szCs w:val="18"/>
              </w:rPr>
              <w:t>指数</w:t>
            </w:r>
          </w:p>
        </w:tc>
      </w:tr>
      <w:tr w:rsidR="00DF2CE7" w:rsidRPr="009214A7" w14:paraId="0F7EFD2A" w14:textId="77777777" w:rsidTr="002B406E">
        <w:trPr>
          <w:trHeight w:val="1301"/>
        </w:trPr>
        <w:tc>
          <w:tcPr>
            <w:tcW w:w="155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68FCE9C9" w14:textId="77777777" w:rsidR="00DF2CE7" w:rsidRPr="009214A7" w:rsidRDefault="00DF2CE7" w:rsidP="002B406E">
            <w:pPr>
              <w:widowControl/>
              <w:jc w:val="center"/>
              <w:rPr>
                <w:rFonts w:ascii="宋体" w:hAnsi="宋体" w:cs="Arial"/>
                <w:b/>
                <w:kern w:val="0"/>
                <w:sz w:val="20"/>
                <w:szCs w:val="18"/>
              </w:rPr>
            </w:pPr>
            <w:r w:rsidRPr="009214A7">
              <w:rPr>
                <w:rFonts w:ascii="宋体" w:hAnsi="宋体" w:cs="Arial" w:hint="eastAsia"/>
                <w:b/>
                <w:color w:val="000000"/>
                <w:kern w:val="24"/>
                <w:sz w:val="20"/>
                <w:szCs w:val="18"/>
              </w:rPr>
              <w:t>样本空间</w:t>
            </w:r>
          </w:p>
        </w:tc>
        <w:tc>
          <w:tcPr>
            <w:tcW w:w="763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011EA3CF" w14:textId="237F58C0" w:rsidR="00DF2CE7" w:rsidRPr="00E819F9" w:rsidRDefault="000F5270" w:rsidP="002B406E">
            <w:pPr>
              <w:widowControl/>
              <w:rPr>
                <w:rFonts w:ascii="宋体" w:hAnsi="宋体" w:cs="Arial"/>
                <w:color w:val="000000"/>
                <w:kern w:val="24"/>
                <w:sz w:val="20"/>
                <w:szCs w:val="18"/>
              </w:rPr>
            </w:pPr>
            <w:r>
              <w:rPr>
                <w:rFonts w:ascii="宋体" w:hAnsi="宋体" w:cs="Arial" w:hint="eastAsia"/>
                <w:color w:val="000000"/>
                <w:kern w:val="24"/>
                <w:sz w:val="20"/>
                <w:szCs w:val="18"/>
              </w:rPr>
              <w:t>{{样本空间}}</w:t>
            </w:r>
          </w:p>
        </w:tc>
      </w:tr>
      <w:tr w:rsidR="000F5270" w:rsidRPr="009214A7" w14:paraId="4F98114D" w14:textId="77777777" w:rsidTr="002B406E">
        <w:trPr>
          <w:trHeight w:val="1301"/>
        </w:trPr>
        <w:tc>
          <w:tcPr>
            <w:tcW w:w="155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3264AB86" w14:textId="6C05045E" w:rsidR="000F5270" w:rsidRPr="009214A7" w:rsidRDefault="000F5270" w:rsidP="002B406E">
            <w:pPr>
              <w:widowControl/>
              <w:jc w:val="center"/>
              <w:rPr>
                <w:rFonts w:ascii="宋体" w:hAnsi="宋体" w:cs="Arial" w:hint="eastAsia"/>
                <w:b/>
                <w:color w:val="000000"/>
                <w:kern w:val="24"/>
                <w:sz w:val="20"/>
                <w:szCs w:val="18"/>
              </w:rPr>
            </w:pPr>
            <w:r>
              <w:rPr>
                <w:rFonts w:ascii="宋体" w:hAnsi="宋体" w:cs="Arial" w:hint="eastAsia"/>
                <w:b/>
                <w:color w:val="000000"/>
                <w:kern w:val="24"/>
                <w:sz w:val="20"/>
                <w:szCs w:val="18"/>
              </w:rPr>
              <w:t>可投资性筛选</w:t>
            </w:r>
          </w:p>
        </w:tc>
        <w:tc>
          <w:tcPr>
            <w:tcW w:w="763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5B14FF6E" w14:textId="6D425336" w:rsidR="000F5270" w:rsidRDefault="000F5270" w:rsidP="002B406E">
            <w:pPr>
              <w:widowControl/>
              <w:rPr>
                <w:rFonts w:ascii="宋体" w:hAnsi="宋体" w:cs="Arial" w:hint="eastAsia"/>
                <w:color w:val="000000"/>
                <w:kern w:val="24"/>
                <w:sz w:val="20"/>
                <w:szCs w:val="18"/>
              </w:rPr>
            </w:pPr>
            <w:r>
              <w:rPr>
                <w:rFonts w:ascii="宋体" w:hAnsi="宋体" w:cs="Arial" w:hint="eastAsia"/>
                <w:color w:val="000000"/>
                <w:kern w:val="24"/>
                <w:sz w:val="20"/>
                <w:szCs w:val="18"/>
              </w:rPr>
              <w:t>{{可投资性筛选}}</w:t>
            </w:r>
          </w:p>
        </w:tc>
      </w:tr>
      <w:tr w:rsidR="00DF2CE7" w:rsidRPr="009214A7" w14:paraId="74D262DF" w14:textId="77777777" w:rsidTr="002B406E">
        <w:trPr>
          <w:trHeight w:val="652"/>
        </w:trPr>
        <w:tc>
          <w:tcPr>
            <w:tcW w:w="15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15C2FA3F" w14:textId="77777777" w:rsidR="00DF2CE7" w:rsidRPr="009214A7" w:rsidRDefault="00DF2CE7" w:rsidP="002B406E">
            <w:pPr>
              <w:widowControl/>
              <w:jc w:val="center"/>
              <w:rPr>
                <w:rFonts w:ascii="宋体" w:hAnsi="宋体" w:cs="Arial"/>
                <w:b/>
                <w:kern w:val="0"/>
                <w:sz w:val="20"/>
                <w:szCs w:val="18"/>
              </w:rPr>
            </w:pPr>
            <w:r w:rsidRPr="009214A7">
              <w:rPr>
                <w:rFonts w:ascii="宋体" w:hAnsi="宋体" w:cs="Arial" w:hint="eastAsia"/>
                <w:b/>
                <w:color w:val="000000"/>
                <w:kern w:val="24"/>
                <w:sz w:val="20"/>
                <w:szCs w:val="18"/>
              </w:rPr>
              <w:t>选样方法</w:t>
            </w:r>
          </w:p>
        </w:tc>
        <w:tc>
          <w:tcPr>
            <w:tcW w:w="76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4D41EA9D" w14:textId="7CF7EB40" w:rsidR="00DF2CE7" w:rsidRPr="009214A7" w:rsidRDefault="000F5270" w:rsidP="002B406E">
            <w:pPr>
              <w:widowControl/>
              <w:rPr>
                <w:rFonts w:ascii="宋体" w:hAnsi="宋体" w:cs="Arial"/>
                <w:color w:val="000000"/>
                <w:kern w:val="24"/>
                <w:sz w:val="20"/>
                <w:szCs w:val="18"/>
              </w:rPr>
            </w:pPr>
            <w:r>
              <w:rPr>
                <w:rFonts w:ascii="宋体" w:hAnsi="宋体" w:cs="Arial" w:hint="eastAsia"/>
                <w:color w:val="000000"/>
                <w:kern w:val="24"/>
                <w:sz w:val="20"/>
                <w:szCs w:val="18"/>
              </w:rPr>
              <w:t>{{选样方法}}</w:t>
            </w:r>
          </w:p>
        </w:tc>
      </w:tr>
      <w:tr w:rsidR="00DF2CE7" w:rsidRPr="009214A7" w14:paraId="7A2DE9B7" w14:textId="77777777" w:rsidTr="002B406E">
        <w:trPr>
          <w:trHeight w:val="18"/>
        </w:trPr>
        <w:tc>
          <w:tcPr>
            <w:tcW w:w="155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4627FD0C" w14:textId="77777777" w:rsidR="00DF2CE7" w:rsidRPr="009214A7" w:rsidRDefault="00DF2CE7" w:rsidP="002B406E">
            <w:pPr>
              <w:widowControl/>
              <w:jc w:val="center"/>
              <w:rPr>
                <w:rFonts w:ascii="宋体" w:hAnsi="宋体" w:cs="Arial"/>
                <w:b/>
                <w:kern w:val="0"/>
                <w:sz w:val="20"/>
                <w:szCs w:val="18"/>
              </w:rPr>
            </w:pPr>
            <w:r w:rsidRPr="009214A7">
              <w:rPr>
                <w:rFonts w:ascii="宋体" w:hAnsi="宋体" w:cs="Arial" w:hint="eastAsia"/>
                <w:b/>
                <w:color w:val="000000"/>
                <w:kern w:val="24"/>
                <w:sz w:val="20"/>
                <w:szCs w:val="18"/>
              </w:rPr>
              <w:t>股票个数</w:t>
            </w:r>
          </w:p>
        </w:tc>
        <w:tc>
          <w:tcPr>
            <w:tcW w:w="763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07238EE7" w14:textId="30EBDE6F" w:rsidR="00DF2CE7" w:rsidRPr="009214A7" w:rsidRDefault="000F5270" w:rsidP="002B406E">
            <w:pPr>
              <w:widowControl/>
              <w:jc w:val="left"/>
              <w:rPr>
                <w:rFonts w:ascii="宋体" w:hAnsi="宋体" w:cs="Arial"/>
                <w:color w:val="000000"/>
                <w:kern w:val="24"/>
                <w:sz w:val="20"/>
                <w:szCs w:val="18"/>
              </w:rPr>
            </w:pPr>
            <w:r>
              <w:rPr>
                <w:rFonts w:ascii="宋体" w:hAnsi="宋体" w:cs="Arial" w:hint="eastAsia"/>
                <w:color w:val="000000"/>
                <w:kern w:val="24"/>
                <w:sz w:val="20"/>
                <w:szCs w:val="18"/>
              </w:rPr>
              <w:t>{{成分股数量}}</w:t>
            </w:r>
          </w:p>
        </w:tc>
      </w:tr>
      <w:tr w:rsidR="00DF2CE7" w:rsidRPr="009214A7" w14:paraId="70593EBA" w14:textId="77777777" w:rsidTr="002B406E">
        <w:trPr>
          <w:trHeight w:val="748"/>
        </w:trPr>
        <w:tc>
          <w:tcPr>
            <w:tcW w:w="15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4E6BFB5B" w14:textId="77777777" w:rsidR="00DF2CE7" w:rsidRPr="009214A7" w:rsidRDefault="00DF2CE7" w:rsidP="002B406E">
            <w:pPr>
              <w:widowControl/>
              <w:jc w:val="center"/>
              <w:rPr>
                <w:rFonts w:ascii="宋体" w:hAnsi="宋体" w:cs="Arial"/>
                <w:b/>
                <w:kern w:val="0"/>
                <w:sz w:val="20"/>
                <w:szCs w:val="18"/>
              </w:rPr>
            </w:pPr>
            <w:r>
              <w:rPr>
                <w:rFonts w:ascii="宋体" w:hAnsi="宋体" w:cs="Arial" w:hint="eastAsia"/>
                <w:b/>
                <w:color w:val="000000"/>
                <w:kern w:val="24"/>
                <w:sz w:val="20"/>
                <w:szCs w:val="18"/>
              </w:rPr>
              <w:lastRenderedPageBreak/>
              <w:t>权重限制</w:t>
            </w:r>
          </w:p>
        </w:tc>
        <w:tc>
          <w:tcPr>
            <w:tcW w:w="76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F969EDD" w14:textId="49639889" w:rsidR="00DF2CE7" w:rsidRPr="009214A7" w:rsidRDefault="000F5270" w:rsidP="002B406E">
            <w:pPr>
              <w:widowControl/>
              <w:rPr>
                <w:rFonts w:ascii="宋体" w:hAnsi="宋体" w:cs="Arial"/>
                <w:color w:val="000000"/>
                <w:kern w:val="24"/>
                <w:sz w:val="20"/>
                <w:szCs w:val="18"/>
              </w:rPr>
            </w:pPr>
            <w:r>
              <w:rPr>
                <w:rFonts w:ascii="宋体" w:hAnsi="宋体" w:cs="Arial" w:hint="eastAsia"/>
                <w:color w:val="000000"/>
                <w:kern w:val="24"/>
                <w:sz w:val="20"/>
                <w:szCs w:val="18"/>
              </w:rPr>
              <w:t>{{权重限制}}</w:t>
            </w:r>
          </w:p>
        </w:tc>
      </w:tr>
      <w:tr w:rsidR="000F5270" w:rsidRPr="009214A7" w14:paraId="11069DEB" w14:textId="77777777" w:rsidTr="002B406E">
        <w:trPr>
          <w:trHeight w:val="748"/>
        </w:trPr>
        <w:tc>
          <w:tcPr>
            <w:tcW w:w="155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tcPr>
          <w:p w14:paraId="1EA9DEA1" w14:textId="00919412" w:rsidR="000F5270" w:rsidRDefault="000F5270" w:rsidP="002B406E">
            <w:pPr>
              <w:widowControl/>
              <w:jc w:val="center"/>
              <w:rPr>
                <w:rFonts w:ascii="宋体" w:hAnsi="宋体" w:cs="Arial" w:hint="eastAsia"/>
                <w:b/>
                <w:color w:val="000000"/>
                <w:kern w:val="24"/>
                <w:sz w:val="20"/>
                <w:szCs w:val="18"/>
              </w:rPr>
            </w:pPr>
            <w:r>
              <w:rPr>
                <w:rFonts w:ascii="宋体" w:hAnsi="宋体" w:cs="Arial" w:hint="eastAsia"/>
                <w:b/>
                <w:color w:val="000000"/>
                <w:kern w:val="24"/>
                <w:sz w:val="20"/>
                <w:szCs w:val="18"/>
              </w:rPr>
              <w:t>指数调整</w:t>
            </w:r>
          </w:p>
        </w:tc>
        <w:tc>
          <w:tcPr>
            <w:tcW w:w="763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75CE93BD" w14:textId="67191822" w:rsidR="000F5270" w:rsidRDefault="000F5270" w:rsidP="002B406E">
            <w:pPr>
              <w:widowControl/>
              <w:rPr>
                <w:rFonts w:ascii="宋体" w:hAnsi="宋体" w:cs="Arial" w:hint="eastAsia"/>
                <w:color w:val="000000"/>
                <w:kern w:val="24"/>
                <w:sz w:val="20"/>
                <w:szCs w:val="18"/>
              </w:rPr>
            </w:pPr>
            <w:r>
              <w:rPr>
                <w:rFonts w:ascii="宋体" w:hAnsi="宋体" w:cs="Arial" w:hint="eastAsia"/>
                <w:color w:val="000000"/>
                <w:kern w:val="24"/>
                <w:sz w:val="20"/>
                <w:szCs w:val="18"/>
              </w:rPr>
              <w:t>{{指数调整}}</w:t>
            </w:r>
          </w:p>
        </w:tc>
      </w:tr>
    </w:tbl>
    <w:p w14:paraId="2D711566" w14:textId="521BEE47" w:rsidR="00960490" w:rsidRPr="00DF2CE7" w:rsidRDefault="00960490" w:rsidP="006F7C24"/>
    <w:sectPr w:rsidR="00960490" w:rsidRPr="00DF2CE7" w:rsidSect="006B7ADF">
      <w:footerReference w:type="default" r:id="rId1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luoyiling" w:date="2025-11-13T13:49:00Z" w:initials="luoyiling">
    <w:p w14:paraId="41709663" w14:textId="77777777" w:rsidR="00DF2CE7" w:rsidRDefault="00DF2CE7" w:rsidP="00DF2CE7">
      <w:pPr>
        <w:pStyle w:val="ac"/>
      </w:pPr>
      <w:r>
        <w:rPr>
          <w:rStyle w:val="ab"/>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7096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844D8EB" w16cex:dateUtc="2023-08-24T0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5DF156" w16cid:durableId="125321D6"/>
  <w16cid:commentId w16cid:paraId="2E86A15B" w16cid:durableId="6CB92D17"/>
  <w16cid:commentId w16cid:paraId="4E492573" w16cid:durableId="144B80F9"/>
  <w16cid:commentId w16cid:paraId="50677C29" w16cid:durableId="6844D8E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A3ACC9" w14:textId="77777777" w:rsidR="0072450E" w:rsidRDefault="0072450E" w:rsidP="003435CF">
      <w:r>
        <w:separator/>
      </w:r>
    </w:p>
  </w:endnote>
  <w:endnote w:type="continuationSeparator" w:id="0">
    <w:p w14:paraId="4A54CD68" w14:textId="77777777" w:rsidR="0072450E" w:rsidRDefault="0072450E" w:rsidP="0034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4605124"/>
      <w:docPartObj>
        <w:docPartGallery w:val="Page Numbers (Bottom of Page)"/>
        <w:docPartUnique/>
      </w:docPartObj>
    </w:sdtPr>
    <w:sdtEndPr>
      <w:rPr>
        <w:rFonts w:ascii="仿宋" w:eastAsia="仿宋" w:hAnsi="仿宋"/>
      </w:rPr>
    </w:sdtEndPr>
    <w:sdtContent>
      <w:p w14:paraId="20D71138" w14:textId="68B2EBB3" w:rsidR="00580554" w:rsidRPr="00580554" w:rsidRDefault="00580554">
        <w:pPr>
          <w:pStyle w:val="a7"/>
          <w:jc w:val="center"/>
          <w:rPr>
            <w:rFonts w:ascii="仿宋" w:eastAsia="仿宋" w:hAnsi="仿宋"/>
          </w:rPr>
        </w:pPr>
        <w:r w:rsidRPr="00580554">
          <w:rPr>
            <w:rFonts w:ascii="仿宋" w:eastAsia="仿宋" w:hAnsi="仿宋"/>
          </w:rPr>
          <w:fldChar w:fldCharType="begin"/>
        </w:r>
        <w:r w:rsidRPr="00580554">
          <w:rPr>
            <w:rFonts w:ascii="仿宋" w:eastAsia="仿宋" w:hAnsi="仿宋"/>
          </w:rPr>
          <w:instrText>PAGE   \* MERGEFORMAT</w:instrText>
        </w:r>
        <w:r w:rsidRPr="00580554">
          <w:rPr>
            <w:rFonts w:ascii="仿宋" w:eastAsia="仿宋" w:hAnsi="仿宋"/>
          </w:rPr>
          <w:fldChar w:fldCharType="separate"/>
        </w:r>
        <w:r w:rsidR="00CD76BE" w:rsidRPr="00CD76BE">
          <w:rPr>
            <w:rFonts w:ascii="仿宋" w:eastAsia="仿宋" w:hAnsi="仿宋"/>
            <w:noProof/>
            <w:lang w:val="zh-CN"/>
          </w:rPr>
          <w:t>2</w:t>
        </w:r>
        <w:r w:rsidRPr="00580554">
          <w:rPr>
            <w:rFonts w:ascii="仿宋" w:eastAsia="仿宋" w:hAnsi="仿宋"/>
          </w:rPr>
          <w:fldChar w:fldCharType="end"/>
        </w:r>
      </w:p>
    </w:sdtContent>
  </w:sdt>
  <w:p w14:paraId="21114FC5" w14:textId="77777777" w:rsidR="00580554" w:rsidRDefault="0058055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991309" w14:textId="77777777" w:rsidR="0072450E" w:rsidRDefault="0072450E" w:rsidP="003435CF">
      <w:r>
        <w:separator/>
      </w:r>
    </w:p>
  </w:footnote>
  <w:footnote w:type="continuationSeparator" w:id="0">
    <w:p w14:paraId="2697981A" w14:textId="77777777" w:rsidR="0072450E" w:rsidRDefault="0072450E" w:rsidP="003435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E2903"/>
    <w:multiLevelType w:val="hybridMultilevel"/>
    <w:tmpl w:val="D3A26722"/>
    <w:lvl w:ilvl="0" w:tplc="39ACDFE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2E2DA7"/>
    <w:multiLevelType w:val="multilevel"/>
    <w:tmpl w:val="0000000A"/>
    <w:lvl w:ilvl="0">
      <w:start w:val="1"/>
      <w:numFmt w:val="japaneseCounting"/>
      <w:lvlText w:val="（%1）"/>
      <w:lvlJc w:val="left"/>
      <w:pPr>
        <w:tabs>
          <w:tab w:val="num" w:pos="1620"/>
        </w:tabs>
        <w:ind w:left="1620" w:hanging="108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2" w15:restartNumberingAfterBreak="0">
    <w:nsid w:val="1C9B14A8"/>
    <w:multiLevelType w:val="hybridMultilevel"/>
    <w:tmpl w:val="41C692F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61F7EB1"/>
    <w:multiLevelType w:val="hybridMultilevel"/>
    <w:tmpl w:val="BA4097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4AD64ED"/>
    <w:multiLevelType w:val="hybridMultilevel"/>
    <w:tmpl w:val="25A20A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5297E57"/>
    <w:multiLevelType w:val="hybridMultilevel"/>
    <w:tmpl w:val="E84C3418"/>
    <w:lvl w:ilvl="0" w:tplc="16AAC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F11559"/>
    <w:multiLevelType w:val="multilevel"/>
    <w:tmpl w:val="0000000A"/>
    <w:lvl w:ilvl="0">
      <w:start w:val="1"/>
      <w:numFmt w:val="japaneseCounting"/>
      <w:lvlText w:val="（%1）"/>
      <w:lvlJc w:val="left"/>
      <w:pPr>
        <w:tabs>
          <w:tab w:val="num" w:pos="1620"/>
        </w:tabs>
        <w:ind w:left="1620" w:hanging="108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7" w15:restartNumberingAfterBreak="0">
    <w:nsid w:val="4F3D1F90"/>
    <w:multiLevelType w:val="hybridMultilevel"/>
    <w:tmpl w:val="20F80F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9F007B1"/>
    <w:multiLevelType w:val="hybridMultilevel"/>
    <w:tmpl w:val="B2C857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4507F81"/>
    <w:multiLevelType w:val="hybridMultilevel"/>
    <w:tmpl w:val="7B20EA6E"/>
    <w:lvl w:ilvl="0" w:tplc="3280CD48">
      <w:start w:val="1"/>
      <w:numFmt w:val="bullet"/>
      <w:lvlText w:val=""/>
      <w:lvlJc w:val="left"/>
      <w:pPr>
        <w:tabs>
          <w:tab w:val="num" w:pos="720"/>
        </w:tabs>
        <w:ind w:left="720" w:hanging="360"/>
      </w:pPr>
      <w:rPr>
        <w:rFonts w:ascii="Wingdings" w:hAnsi="Wingdings" w:hint="default"/>
      </w:rPr>
    </w:lvl>
    <w:lvl w:ilvl="1" w:tplc="F1AA9C46" w:tentative="1">
      <w:start w:val="1"/>
      <w:numFmt w:val="bullet"/>
      <w:lvlText w:val=""/>
      <w:lvlJc w:val="left"/>
      <w:pPr>
        <w:tabs>
          <w:tab w:val="num" w:pos="1440"/>
        </w:tabs>
        <w:ind w:left="1440" w:hanging="360"/>
      </w:pPr>
      <w:rPr>
        <w:rFonts w:ascii="Wingdings" w:hAnsi="Wingdings" w:hint="default"/>
      </w:rPr>
    </w:lvl>
    <w:lvl w:ilvl="2" w:tplc="B0343B38" w:tentative="1">
      <w:start w:val="1"/>
      <w:numFmt w:val="bullet"/>
      <w:lvlText w:val=""/>
      <w:lvlJc w:val="left"/>
      <w:pPr>
        <w:tabs>
          <w:tab w:val="num" w:pos="2160"/>
        </w:tabs>
        <w:ind w:left="2160" w:hanging="360"/>
      </w:pPr>
      <w:rPr>
        <w:rFonts w:ascii="Wingdings" w:hAnsi="Wingdings" w:hint="default"/>
      </w:rPr>
    </w:lvl>
    <w:lvl w:ilvl="3" w:tplc="34D2D21A" w:tentative="1">
      <w:start w:val="1"/>
      <w:numFmt w:val="bullet"/>
      <w:lvlText w:val=""/>
      <w:lvlJc w:val="left"/>
      <w:pPr>
        <w:tabs>
          <w:tab w:val="num" w:pos="2880"/>
        </w:tabs>
        <w:ind w:left="2880" w:hanging="360"/>
      </w:pPr>
      <w:rPr>
        <w:rFonts w:ascii="Wingdings" w:hAnsi="Wingdings" w:hint="default"/>
      </w:rPr>
    </w:lvl>
    <w:lvl w:ilvl="4" w:tplc="D50E0F22" w:tentative="1">
      <w:start w:val="1"/>
      <w:numFmt w:val="bullet"/>
      <w:lvlText w:val=""/>
      <w:lvlJc w:val="left"/>
      <w:pPr>
        <w:tabs>
          <w:tab w:val="num" w:pos="3600"/>
        </w:tabs>
        <w:ind w:left="3600" w:hanging="360"/>
      </w:pPr>
      <w:rPr>
        <w:rFonts w:ascii="Wingdings" w:hAnsi="Wingdings" w:hint="default"/>
      </w:rPr>
    </w:lvl>
    <w:lvl w:ilvl="5" w:tplc="C8CEFA68" w:tentative="1">
      <w:start w:val="1"/>
      <w:numFmt w:val="bullet"/>
      <w:lvlText w:val=""/>
      <w:lvlJc w:val="left"/>
      <w:pPr>
        <w:tabs>
          <w:tab w:val="num" w:pos="4320"/>
        </w:tabs>
        <w:ind w:left="4320" w:hanging="360"/>
      </w:pPr>
      <w:rPr>
        <w:rFonts w:ascii="Wingdings" w:hAnsi="Wingdings" w:hint="default"/>
      </w:rPr>
    </w:lvl>
    <w:lvl w:ilvl="6" w:tplc="16344408" w:tentative="1">
      <w:start w:val="1"/>
      <w:numFmt w:val="bullet"/>
      <w:lvlText w:val=""/>
      <w:lvlJc w:val="left"/>
      <w:pPr>
        <w:tabs>
          <w:tab w:val="num" w:pos="5040"/>
        </w:tabs>
        <w:ind w:left="5040" w:hanging="360"/>
      </w:pPr>
      <w:rPr>
        <w:rFonts w:ascii="Wingdings" w:hAnsi="Wingdings" w:hint="default"/>
      </w:rPr>
    </w:lvl>
    <w:lvl w:ilvl="7" w:tplc="7D602E0A" w:tentative="1">
      <w:start w:val="1"/>
      <w:numFmt w:val="bullet"/>
      <w:lvlText w:val=""/>
      <w:lvlJc w:val="left"/>
      <w:pPr>
        <w:tabs>
          <w:tab w:val="num" w:pos="5760"/>
        </w:tabs>
        <w:ind w:left="5760" w:hanging="360"/>
      </w:pPr>
      <w:rPr>
        <w:rFonts w:ascii="Wingdings" w:hAnsi="Wingdings" w:hint="default"/>
      </w:rPr>
    </w:lvl>
    <w:lvl w:ilvl="8" w:tplc="AC827D46"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6"/>
  </w:num>
  <w:num w:numId="4">
    <w:abstractNumId w:val="1"/>
  </w:num>
  <w:num w:numId="5">
    <w:abstractNumId w:val="8"/>
  </w:num>
  <w:num w:numId="6">
    <w:abstractNumId w:val="9"/>
  </w:num>
  <w:num w:numId="7">
    <w:abstractNumId w:val="2"/>
  </w:num>
  <w:num w:numId="8">
    <w:abstractNumId w:val="7"/>
  </w:num>
  <w:num w:numId="9">
    <w:abstractNumId w:val="3"/>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oyiling">
    <w15:presenceInfo w15:providerId="None" w15:userId="luoyil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131078" w:nlCheck="1" w:checkStyle="0"/>
  <w:activeWritingStyle w:appName="MSWord" w:lang="zh-CN" w:vendorID="64" w:dllVersion="131077" w:nlCheck="1" w:checkStyle="1"/>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93E"/>
    <w:rsid w:val="000009C9"/>
    <w:rsid w:val="000014C2"/>
    <w:rsid w:val="00001777"/>
    <w:rsid w:val="00002093"/>
    <w:rsid w:val="00002885"/>
    <w:rsid w:val="0000314C"/>
    <w:rsid w:val="0001190B"/>
    <w:rsid w:val="00013A31"/>
    <w:rsid w:val="00014A1D"/>
    <w:rsid w:val="000165AB"/>
    <w:rsid w:val="00016A67"/>
    <w:rsid w:val="000175A1"/>
    <w:rsid w:val="000178E6"/>
    <w:rsid w:val="00020D78"/>
    <w:rsid w:val="00025E0B"/>
    <w:rsid w:val="00026323"/>
    <w:rsid w:val="00027FFE"/>
    <w:rsid w:val="00030000"/>
    <w:rsid w:val="00040897"/>
    <w:rsid w:val="00041841"/>
    <w:rsid w:val="00043262"/>
    <w:rsid w:val="000437BE"/>
    <w:rsid w:val="0004478A"/>
    <w:rsid w:val="0004717A"/>
    <w:rsid w:val="00050166"/>
    <w:rsid w:val="00052065"/>
    <w:rsid w:val="000520DD"/>
    <w:rsid w:val="0005255B"/>
    <w:rsid w:val="00052BDE"/>
    <w:rsid w:val="000548ED"/>
    <w:rsid w:val="00054FEE"/>
    <w:rsid w:val="00055817"/>
    <w:rsid w:val="00056082"/>
    <w:rsid w:val="00056367"/>
    <w:rsid w:val="0006098F"/>
    <w:rsid w:val="00061A50"/>
    <w:rsid w:val="0006203D"/>
    <w:rsid w:val="000645CC"/>
    <w:rsid w:val="00065446"/>
    <w:rsid w:val="00066EE9"/>
    <w:rsid w:val="00070007"/>
    <w:rsid w:val="00073C9C"/>
    <w:rsid w:val="00074701"/>
    <w:rsid w:val="00074D7C"/>
    <w:rsid w:val="00074D7E"/>
    <w:rsid w:val="00075919"/>
    <w:rsid w:val="00077146"/>
    <w:rsid w:val="00082252"/>
    <w:rsid w:val="00091457"/>
    <w:rsid w:val="000936FD"/>
    <w:rsid w:val="00094C6B"/>
    <w:rsid w:val="000A5AB2"/>
    <w:rsid w:val="000A6258"/>
    <w:rsid w:val="000A64DB"/>
    <w:rsid w:val="000B6080"/>
    <w:rsid w:val="000C1352"/>
    <w:rsid w:val="000C580A"/>
    <w:rsid w:val="000C594C"/>
    <w:rsid w:val="000C7092"/>
    <w:rsid w:val="000D3846"/>
    <w:rsid w:val="000D6AF2"/>
    <w:rsid w:val="000E215C"/>
    <w:rsid w:val="000E2B0C"/>
    <w:rsid w:val="000E3343"/>
    <w:rsid w:val="000E5E69"/>
    <w:rsid w:val="000E66EB"/>
    <w:rsid w:val="000E6916"/>
    <w:rsid w:val="000F0489"/>
    <w:rsid w:val="000F226F"/>
    <w:rsid w:val="000F2311"/>
    <w:rsid w:val="000F4122"/>
    <w:rsid w:val="000F5270"/>
    <w:rsid w:val="000F59DD"/>
    <w:rsid w:val="000F5C86"/>
    <w:rsid w:val="000F71E4"/>
    <w:rsid w:val="000F744E"/>
    <w:rsid w:val="00103BFC"/>
    <w:rsid w:val="001058FE"/>
    <w:rsid w:val="00105AF9"/>
    <w:rsid w:val="00105CC6"/>
    <w:rsid w:val="00106DCF"/>
    <w:rsid w:val="00113F39"/>
    <w:rsid w:val="00114371"/>
    <w:rsid w:val="001149C5"/>
    <w:rsid w:val="00117BBF"/>
    <w:rsid w:val="00117CB5"/>
    <w:rsid w:val="00120D75"/>
    <w:rsid w:val="00120EB5"/>
    <w:rsid w:val="0012295B"/>
    <w:rsid w:val="00124192"/>
    <w:rsid w:val="001319B8"/>
    <w:rsid w:val="00133303"/>
    <w:rsid w:val="00133978"/>
    <w:rsid w:val="0013541C"/>
    <w:rsid w:val="00144E19"/>
    <w:rsid w:val="001452B3"/>
    <w:rsid w:val="001462CA"/>
    <w:rsid w:val="00150342"/>
    <w:rsid w:val="001530C2"/>
    <w:rsid w:val="001577D5"/>
    <w:rsid w:val="001608EA"/>
    <w:rsid w:val="00161552"/>
    <w:rsid w:val="00162986"/>
    <w:rsid w:val="00162C2C"/>
    <w:rsid w:val="00162D29"/>
    <w:rsid w:val="00164D85"/>
    <w:rsid w:val="00170B94"/>
    <w:rsid w:val="00174A75"/>
    <w:rsid w:val="00174EFB"/>
    <w:rsid w:val="00177E84"/>
    <w:rsid w:val="00183396"/>
    <w:rsid w:val="00184A1A"/>
    <w:rsid w:val="00187174"/>
    <w:rsid w:val="0018726C"/>
    <w:rsid w:val="00193976"/>
    <w:rsid w:val="001941CA"/>
    <w:rsid w:val="001967F7"/>
    <w:rsid w:val="00197AB8"/>
    <w:rsid w:val="001A234C"/>
    <w:rsid w:val="001A2938"/>
    <w:rsid w:val="001A2CA1"/>
    <w:rsid w:val="001B093E"/>
    <w:rsid w:val="001B21D2"/>
    <w:rsid w:val="001B4A29"/>
    <w:rsid w:val="001B5909"/>
    <w:rsid w:val="001B6C18"/>
    <w:rsid w:val="001B6EED"/>
    <w:rsid w:val="001C07A1"/>
    <w:rsid w:val="001C24CD"/>
    <w:rsid w:val="001C2F6E"/>
    <w:rsid w:val="001C32D7"/>
    <w:rsid w:val="001C532D"/>
    <w:rsid w:val="001C5DAE"/>
    <w:rsid w:val="001C6724"/>
    <w:rsid w:val="001C6969"/>
    <w:rsid w:val="001D393E"/>
    <w:rsid w:val="001D4604"/>
    <w:rsid w:val="001D635A"/>
    <w:rsid w:val="001D68AA"/>
    <w:rsid w:val="001E1655"/>
    <w:rsid w:val="001E1EBD"/>
    <w:rsid w:val="001F086A"/>
    <w:rsid w:val="001F2BC3"/>
    <w:rsid w:val="001F3D20"/>
    <w:rsid w:val="001F55E8"/>
    <w:rsid w:val="001F7361"/>
    <w:rsid w:val="001F7ADC"/>
    <w:rsid w:val="002038A7"/>
    <w:rsid w:val="00203E48"/>
    <w:rsid w:val="00205F65"/>
    <w:rsid w:val="00206160"/>
    <w:rsid w:val="00211FA2"/>
    <w:rsid w:val="002125E9"/>
    <w:rsid w:val="0021439E"/>
    <w:rsid w:val="0021548A"/>
    <w:rsid w:val="00215DC7"/>
    <w:rsid w:val="0021641C"/>
    <w:rsid w:val="00216CF4"/>
    <w:rsid w:val="00224C25"/>
    <w:rsid w:val="00226323"/>
    <w:rsid w:val="002268CE"/>
    <w:rsid w:val="00227D3E"/>
    <w:rsid w:val="00231F88"/>
    <w:rsid w:val="00234457"/>
    <w:rsid w:val="00237E50"/>
    <w:rsid w:val="00240037"/>
    <w:rsid w:val="00240114"/>
    <w:rsid w:val="00240352"/>
    <w:rsid w:val="00240F06"/>
    <w:rsid w:val="002428AC"/>
    <w:rsid w:val="00242A0E"/>
    <w:rsid w:val="00242C35"/>
    <w:rsid w:val="00243D1D"/>
    <w:rsid w:val="00244671"/>
    <w:rsid w:val="0024489B"/>
    <w:rsid w:val="00245156"/>
    <w:rsid w:val="002465C0"/>
    <w:rsid w:val="00255BA0"/>
    <w:rsid w:val="00262B1B"/>
    <w:rsid w:val="00263F82"/>
    <w:rsid w:val="00265A94"/>
    <w:rsid w:val="00266887"/>
    <w:rsid w:val="002674A3"/>
    <w:rsid w:val="00267F96"/>
    <w:rsid w:val="00270DA7"/>
    <w:rsid w:val="00271FFF"/>
    <w:rsid w:val="00274625"/>
    <w:rsid w:val="002766F3"/>
    <w:rsid w:val="00280B5B"/>
    <w:rsid w:val="00285617"/>
    <w:rsid w:val="0028586D"/>
    <w:rsid w:val="00293AAB"/>
    <w:rsid w:val="002A0103"/>
    <w:rsid w:val="002A03A0"/>
    <w:rsid w:val="002A4613"/>
    <w:rsid w:val="002A53E1"/>
    <w:rsid w:val="002B001B"/>
    <w:rsid w:val="002B2C12"/>
    <w:rsid w:val="002B330E"/>
    <w:rsid w:val="002C0DE5"/>
    <w:rsid w:val="002C1B8F"/>
    <w:rsid w:val="002C216D"/>
    <w:rsid w:val="002C2264"/>
    <w:rsid w:val="002C325A"/>
    <w:rsid w:val="002C664D"/>
    <w:rsid w:val="002C6B3B"/>
    <w:rsid w:val="002D33D5"/>
    <w:rsid w:val="002D3BBE"/>
    <w:rsid w:val="002D3FC1"/>
    <w:rsid w:val="002D46AF"/>
    <w:rsid w:val="002D7AD5"/>
    <w:rsid w:val="002D7FC0"/>
    <w:rsid w:val="002E2557"/>
    <w:rsid w:val="002E2CA5"/>
    <w:rsid w:val="002E2DC6"/>
    <w:rsid w:val="002F0B04"/>
    <w:rsid w:val="002F0DBC"/>
    <w:rsid w:val="002F2704"/>
    <w:rsid w:val="002F3534"/>
    <w:rsid w:val="00300B83"/>
    <w:rsid w:val="00300BF2"/>
    <w:rsid w:val="003038DE"/>
    <w:rsid w:val="00303EA6"/>
    <w:rsid w:val="003052C7"/>
    <w:rsid w:val="00305F0B"/>
    <w:rsid w:val="00306C29"/>
    <w:rsid w:val="003110A9"/>
    <w:rsid w:val="003126E8"/>
    <w:rsid w:val="0031325B"/>
    <w:rsid w:val="00314D6A"/>
    <w:rsid w:val="00314F44"/>
    <w:rsid w:val="0032288E"/>
    <w:rsid w:val="0032623D"/>
    <w:rsid w:val="00326F91"/>
    <w:rsid w:val="00330656"/>
    <w:rsid w:val="003339AD"/>
    <w:rsid w:val="00334051"/>
    <w:rsid w:val="003350DE"/>
    <w:rsid w:val="00340A3B"/>
    <w:rsid w:val="00341591"/>
    <w:rsid w:val="003416E0"/>
    <w:rsid w:val="003435CF"/>
    <w:rsid w:val="00343830"/>
    <w:rsid w:val="00344AA2"/>
    <w:rsid w:val="003458F7"/>
    <w:rsid w:val="003509B8"/>
    <w:rsid w:val="00351131"/>
    <w:rsid w:val="00352496"/>
    <w:rsid w:val="0035348E"/>
    <w:rsid w:val="0035779D"/>
    <w:rsid w:val="00357942"/>
    <w:rsid w:val="00360701"/>
    <w:rsid w:val="00360E7E"/>
    <w:rsid w:val="003622DF"/>
    <w:rsid w:val="00362BE4"/>
    <w:rsid w:val="00363B7B"/>
    <w:rsid w:val="00364510"/>
    <w:rsid w:val="00365A12"/>
    <w:rsid w:val="00365D57"/>
    <w:rsid w:val="00373522"/>
    <w:rsid w:val="00374873"/>
    <w:rsid w:val="0037654B"/>
    <w:rsid w:val="00376AC1"/>
    <w:rsid w:val="00377F06"/>
    <w:rsid w:val="00381759"/>
    <w:rsid w:val="00381AA5"/>
    <w:rsid w:val="00382B70"/>
    <w:rsid w:val="00386902"/>
    <w:rsid w:val="00386C8A"/>
    <w:rsid w:val="003876FF"/>
    <w:rsid w:val="00387F0E"/>
    <w:rsid w:val="003908E0"/>
    <w:rsid w:val="00392F19"/>
    <w:rsid w:val="00394C29"/>
    <w:rsid w:val="00394CCC"/>
    <w:rsid w:val="003A061B"/>
    <w:rsid w:val="003A53F5"/>
    <w:rsid w:val="003A6D84"/>
    <w:rsid w:val="003B02BF"/>
    <w:rsid w:val="003B1116"/>
    <w:rsid w:val="003B2185"/>
    <w:rsid w:val="003B5EAA"/>
    <w:rsid w:val="003B67AD"/>
    <w:rsid w:val="003B7374"/>
    <w:rsid w:val="003C0663"/>
    <w:rsid w:val="003C2470"/>
    <w:rsid w:val="003C325E"/>
    <w:rsid w:val="003D1396"/>
    <w:rsid w:val="003D17E3"/>
    <w:rsid w:val="003D2CE2"/>
    <w:rsid w:val="003D3926"/>
    <w:rsid w:val="003D3AB8"/>
    <w:rsid w:val="003D7891"/>
    <w:rsid w:val="003E0114"/>
    <w:rsid w:val="003E390D"/>
    <w:rsid w:val="003E418A"/>
    <w:rsid w:val="003E5EFE"/>
    <w:rsid w:val="003E63CE"/>
    <w:rsid w:val="003F0278"/>
    <w:rsid w:val="003F2DE9"/>
    <w:rsid w:val="003F31BA"/>
    <w:rsid w:val="003F3CFC"/>
    <w:rsid w:val="003F5863"/>
    <w:rsid w:val="003F5BF7"/>
    <w:rsid w:val="0040209A"/>
    <w:rsid w:val="00402B78"/>
    <w:rsid w:val="00402F48"/>
    <w:rsid w:val="0040312E"/>
    <w:rsid w:val="00403885"/>
    <w:rsid w:val="0040499B"/>
    <w:rsid w:val="00405B0A"/>
    <w:rsid w:val="0041250E"/>
    <w:rsid w:val="0041296E"/>
    <w:rsid w:val="00412C87"/>
    <w:rsid w:val="00413E3E"/>
    <w:rsid w:val="004140B6"/>
    <w:rsid w:val="004154C6"/>
    <w:rsid w:val="00416778"/>
    <w:rsid w:val="00421B5F"/>
    <w:rsid w:val="00422198"/>
    <w:rsid w:val="00422A04"/>
    <w:rsid w:val="004243C8"/>
    <w:rsid w:val="0042468D"/>
    <w:rsid w:val="00425923"/>
    <w:rsid w:val="00425D2B"/>
    <w:rsid w:val="00427628"/>
    <w:rsid w:val="00430887"/>
    <w:rsid w:val="00430FCF"/>
    <w:rsid w:val="00434AB2"/>
    <w:rsid w:val="00435160"/>
    <w:rsid w:val="00435B25"/>
    <w:rsid w:val="00435CD5"/>
    <w:rsid w:val="00437755"/>
    <w:rsid w:val="0044206F"/>
    <w:rsid w:val="004432EB"/>
    <w:rsid w:val="00444ADF"/>
    <w:rsid w:val="00444CB6"/>
    <w:rsid w:val="004461C3"/>
    <w:rsid w:val="00447305"/>
    <w:rsid w:val="00447A83"/>
    <w:rsid w:val="00455159"/>
    <w:rsid w:val="0045557B"/>
    <w:rsid w:val="0045695C"/>
    <w:rsid w:val="00457FE2"/>
    <w:rsid w:val="00461D59"/>
    <w:rsid w:val="004636D3"/>
    <w:rsid w:val="00465CD7"/>
    <w:rsid w:val="004663AB"/>
    <w:rsid w:val="004671C9"/>
    <w:rsid w:val="00467211"/>
    <w:rsid w:val="00471583"/>
    <w:rsid w:val="00473DBF"/>
    <w:rsid w:val="00483CFB"/>
    <w:rsid w:val="00483E7B"/>
    <w:rsid w:val="004873F5"/>
    <w:rsid w:val="0048783A"/>
    <w:rsid w:val="00490A46"/>
    <w:rsid w:val="00491401"/>
    <w:rsid w:val="00496428"/>
    <w:rsid w:val="0049711C"/>
    <w:rsid w:val="004A09B5"/>
    <w:rsid w:val="004A0D30"/>
    <w:rsid w:val="004A394C"/>
    <w:rsid w:val="004A62EB"/>
    <w:rsid w:val="004A6413"/>
    <w:rsid w:val="004A6C5A"/>
    <w:rsid w:val="004A6DCB"/>
    <w:rsid w:val="004A7CCC"/>
    <w:rsid w:val="004B0395"/>
    <w:rsid w:val="004B2344"/>
    <w:rsid w:val="004B2752"/>
    <w:rsid w:val="004B54E2"/>
    <w:rsid w:val="004B7893"/>
    <w:rsid w:val="004B7A45"/>
    <w:rsid w:val="004B7B68"/>
    <w:rsid w:val="004C2798"/>
    <w:rsid w:val="004C3FA1"/>
    <w:rsid w:val="004C40BE"/>
    <w:rsid w:val="004C5E98"/>
    <w:rsid w:val="004C717B"/>
    <w:rsid w:val="004C7451"/>
    <w:rsid w:val="004D644D"/>
    <w:rsid w:val="004D6499"/>
    <w:rsid w:val="004D66A2"/>
    <w:rsid w:val="004D757C"/>
    <w:rsid w:val="004E17B5"/>
    <w:rsid w:val="004E1A1E"/>
    <w:rsid w:val="004E4BD9"/>
    <w:rsid w:val="004E7348"/>
    <w:rsid w:val="004F5B4F"/>
    <w:rsid w:val="004F5D63"/>
    <w:rsid w:val="004F7E29"/>
    <w:rsid w:val="00501D2C"/>
    <w:rsid w:val="00501DCE"/>
    <w:rsid w:val="0050749B"/>
    <w:rsid w:val="00507B2F"/>
    <w:rsid w:val="0051092B"/>
    <w:rsid w:val="00510B5C"/>
    <w:rsid w:val="00516CE2"/>
    <w:rsid w:val="00521760"/>
    <w:rsid w:val="005245DA"/>
    <w:rsid w:val="00524DFB"/>
    <w:rsid w:val="00530A31"/>
    <w:rsid w:val="0053339D"/>
    <w:rsid w:val="0053353D"/>
    <w:rsid w:val="00533712"/>
    <w:rsid w:val="00534A78"/>
    <w:rsid w:val="0053529A"/>
    <w:rsid w:val="00535920"/>
    <w:rsid w:val="00535DCA"/>
    <w:rsid w:val="005361EC"/>
    <w:rsid w:val="00537BAA"/>
    <w:rsid w:val="00542353"/>
    <w:rsid w:val="005423C7"/>
    <w:rsid w:val="005430B9"/>
    <w:rsid w:val="005432EE"/>
    <w:rsid w:val="00543403"/>
    <w:rsid w:val="00544636"/>
    <w:rsid w:val="005458CF"/>
    <w:rsid w:val="00545B82"/>
    <w:rsid w:val="00545BB5"/>
    <w:rsid w:val="005466AF"/>
    <w:rsid w:val="00550A80"/>
    <w:rsid w:val="005542F7"/>
    <w:rsid w:val="00561D2F"/>
    <w:rsid w:val="0056264C"/>
    <w:rsid w:val="00562CB4"/>
    <w:rsid w:val="00563E34"/>
    <w:rsid w:val="00571943"/>
    <w:rsid w:val="00571A62"/>
    <w:rsid w:val="00573015"/>
    <w:rsid w:val="005760C4"/>
    <w:rsid w:val="00580356"/>
    <w:rsid w:val="00580554"/>
    <w:rsid w:val="00580A34"/>
    <w:rsid w:val="00580FAD"/>
    <w:rsid w:val="005811F3"/>
    <w:rsid w:val="00581A1A"/>
    <w:rsid w:val="005821F2"/>
    <w:rsid w:val="0058413C"/>
    <w:rsid w:val="0058499B"/>
    <w:rsid w:val="0058536C"/>
    <w:rsid w:val="00586548"/>
    <w:rsid w:val="005878E4"/>
    <w:rsid w:val="005910E1"/>
    <w:rsid w:val="00596A12"/>
    <w:rsid w:val="00596D49"/>
    <w:rsid w:val="005A1605"/>
    <w:rsid w:val="005A17CC"/>
    <w:rsid w:val="005A23D2"/>
    <w:rsid w:val="005A3B51"/>
    <w:rsid w:val="005B0D34"/>
    <w:rsid w:val="005B1CB3"/>
    <w:rsid w:val="005B47FB"/>
    <w:rsid w:val="005B4B15"/>
    <w:rsid w:val="005B600C"/>
    <w:rsid w:val="005B65E3"/>
    <w:rsid w:val="005B75C7"/>
    <w:rsid w:val="005C03BE"/>
    <w:rsid w:val="005C436C"/>
    <w:rsid w:val="005C5C2F"/>
    <w:rsid w:val="005C6C6F"/>
    <w:rsid w:val="005D0247"/>
    <w:rsid w:val="005D0618"/>
    <w:rsid w:val="005D1627"/>
    <w:rsid w:val="005D1C5E"/>
    <w:rsid w:val="005D4139"/>
    <w:rsid w:val="005D4390"/>
    <w:rsid w:val="005D621A"/>
    <w:rsid w:val="005D746D"/>
    <w:rsid w:val="005E27B9"/>
    <w:rsid w:val="005E5F97"/>
    <w:rsid w:val="005E70B7"/>
    <w:rsid w:val="005F3E27"/>
    <w:rsid w:val="005F495F"/>
    <w:rsid w:val="005F4B4B"/>
    <w:rsid w:val="005F586D"/>
    <w:rsid w:val="005F5B47"/>
    <w:rsid w:val="005F6F99"/>
    <w:rsid w:val="00602D25"/>
    <w:rsid w:val="006039CB"/>
    <w:rsid w:val="00607781"/>
    <w:rsid w:val="00611FFB"/>
    <w:rsid w:val="00615CEC"/>
    <w:rsid w:val="00616EC2"/>
    <w:rsid w:val="006170B2"/>
    <w:rsid w:val="00617B21"/>
    <w:rsid w:val="00620FC4"/>
    <w:rsid w:val="00621CA2"/>
    <w:rsid w:val="00624D32"/>
    <w:rsid w:val="00625B51"/>
    <w:rsid w:val="00626895"/>
    <w:rsid w:val="00626C21"/>
    <w:rsid w:val="00630115"/>
    <w:rsid w:val="00630828"/>
    <w:rsid w:val="006320E7"/>
    <w:rsid w:val="006368B4"/>
    <w:rsid w:val="00645608"/>
    <w:rsid w:val="00646F46"/>
    <w:rsid w:val="006500D7"/>
    <w:rsid w:val="00650325"/>
    <w:rsid w:val="0065044D"/>
    <w:rsid w:val="00650ECD"/>
    <w:rsid w:val="006536AC"/>
    <w:rsid w:val="00656712"/>
    <w:rsid w:val="00662757"/>
    <w:rsid w:val="0066290C"/>
    <w:rsid w:val="00665810"/>
    <w:rsid w:val="006658D7"/>
    <w:rsid w:val="00666DC0"/>
    <w:rsid w:val="006678DA"/>
    <w:rsid w:val="00667CE2"/>
    <w:rsid w:val="006713F5"/>
    <w:rsid w:val="00671457"/>
    <w:rsid w:val="00671A16"/>
    <w:rsid w:val="00675615"/>
    <w:rsid w:val="006803A5"/>
    <w:rsid w:val="00680D06"/>
    <w:rsid w:val="00681C42"/>
    <w:rsid w:val="00683801"/>
    <w:rsid w:val="00683EFA"/>
    <w:rsid w:val="00687270"/>
    <w:rsid w:val="0068742C"/>
    <w:rsid w:val="006902D7"/>
    <w:rsid w:val="00692069"/>
    <w:rsid w:val="00694C8B"/>
    <w:rsid w:val="00696574"/>
    <w:rsid w:val="006973B9"/>
    <w:rsid w:val="006976F4"/>
    <w:rsid w:val="006977C5"/>
    <w:rsid w:val="006A0408"/>
    <w:rsid w:val="006A123A"/>
    <w:rsid w:val="006A1414"/>
    <w:rsid w:val="006A1DCE"/>
    <w:rsid w:val="006A5E0A"/>
    <w:rsid w:val="006B043F"/>
    <w:rsid w:val="006B1E3A"/>
    <w:rsid w:val="006B5751"/>
    <w:rsid w:val="006B7ADF"/>
    <w:rsid w:val="006C1713"/>
    <w:rsid w:val="006C173E"/>
    <w:rsid w:val="006C6FCA"/>
    <w:rsid w:val="006D07FE"/>
    <w:rsid w:val="006D112A"/>
    <w:rsid w:val="006D1D8C"/>
    <w:rsid w:val="006D2023"/>
    <w:rsid w:val="006D29B4"/>
    <w:rsid w:val="006D37A3"/>
    <w:rsid w:val="006D4B51"/>
    <w:rsid w:val="006D5735"/>
    <w:rsid w:val="006D5F5F"/>
    <w:rsid w:val="006D70C6"/>
    <w:rsid w:val="006E1706"/>
    <w:rsid w:val="006E18BB"/>
    <w:rsid w:val="006E2992"/>
    <w:rsid w:val="006E3AD2"/>
    <w:rsid w:val="006E57B9"/>
    <w:rsid w:val="006F21D4"/>
    <w:rsid w:val="006F505D"/>
    <w:rsid w:val="006F55FC"/>
    <w:rsid w:val="006F56A1"/>
    <w:rsid w:val="006F76D1"/>
    <w:rsid w:val="006F78ED"/>
    <w:rsid w:val="006F7C24"/>
    <w:rsid w:val="00700176"/>
    <w:rsid w:val="00700596"/>
    <w:rsid w:val="007008E2"/>
    <w:rsid w:val="00701E08"/>
    <w:rsid w:val="00705DF8"/>
    <w:rsid w:val="00711FE1"/>
    <w:rsid w:val="0071290E"/>
    <w:rsid w:val="00712AF0"/>
    <w:rsid w:val="00712BA1"/>
    <w:rsid w:val="00712C87"/>
    <w:rsid w:val="00713164"/>
    <w:rsid w:val="007143D0"/>
    <w:rsid w:val="007154A7"/>
    <w:rsid w:val="0071554A"/>
    <w:rsid w:val="007233A3"/>
    <w:rsid w:val="00723663"/>
    <w:rsid w:val="0072450E"/>
    <w:rsid w:val="007254D8"/>
    <w:rsid w:val="0072729F"/>
    <w:rsid w:val="007310F3"/>
    <w:rsid w:val="007325E8"/>
    <w:rsid w:val="007328FD"/>
    <w:rsid w:val="007343EC"/>
    <w:rsid w:val="007356C0"/>
    <w:rsid w:val="00737461"/>
    <w:rsid w:val="007407E4"/>
    <w:rsid w:val="007424DF"/>
    <w:rsid w:val="007441E8"/>
    <w:rsid w:val="00744700"/>
    <w:rsid w:val="00745EBF"/>
    <w:rsid w:val="00747B37"/>
    <w:rsid w:val="00750AA3"/>
    <w:rsid w:val="007518A7"/>
    <w:rsid w:val="00751E27"/>
    <w:rsid w:val="00760C6F"/>
    <w:rsid w:val="0076516F"/>
    <w:rsid w:val="00766965"/>
    <w:rsid w:val="00766A13"/>
    <w:rsid w:val="00770722"/>
    <w:rsid w:val="00771408"/>
    <w:rsid w:val="007727E4"/>
    <w:rsid w:val="0077299D"/>
    <w:rsid w:val="00774A57"/>
    <w:rsid w:val="0077532E"/>
    <w:rsid w:val="00777047"/>
    <w:rsid w:val="007771D1"/>
    <w:rsid w:val="0078020E"/>
    <w:rsid w:val="00782A86"/>
    <w:rsid w:val="00782FE8"/>
    <w:rsid w:val="00783CCB"/>
    <w:rsid w:val="007853B1"/>
    <w:rsid w:val="00785CF8"/>
    <w:rsid w:val="00786D95"/>
    <w:rsid w:val="00786DEB"/>
    <w:rsid w:val="00787DC4"/>
    <w:rsid w:val="0079377F"/>
    <w:rsid w:val="00794D41"/>
    <w:rsid w:val="007963EA"/>
    <w:rsid w:val="007A4E7F"/>
    <w:rsid w:val="007A55A7"/>
    <w:rsid w:val="007A6D31"/>
    <w:rsid w:val="007B0DC6"/>
    <w:rsid w:val="007B12A4"/>
    <w:rsid w:val="007B15CE"/>
    <w:rsid w:val="007B2E2C"/>
    <w:rsid w:val="007B674C"/>
    <w:rsid w:val="007B7284"/>
    <w:rsid w:val="007C0F2C"/>
    <w:rsid w:val="007C3DA7"/>
    <w:rsid w:val="007C4158"/>
    <w:rsid w:val="007C4579"/>
    <w:rsid w:val="007C52E8"/>
    <w:rsid w:val="007C5C1D"/>
    <w:rsid w:val="007C623A"/>
    <w:rsid w:val="007C6CA7"/>
    <w:rsid w:val="007D2387"/>
    <w:rsid w:val="007D2719"/>
    <w:rsid w:val="007D316D"/>
    <w:rsid w:val="007D3F1F"/>
    <w:rsid w:val="007D5A50"/>
    <w:rsid w:val="007E0BB4"/>
    <w:rsid w:val="007E4781"/>
    <w:rsid w:val="007E4DB4"/>
    <w:rsid w:val="007E69E3"/>
    <w:rsid w:val="007F39C6"/>
    <w:rsid w:val="00801982"/>
    <w:rsid w:val="00802BCF"/>
    <w:rsid w:val="0080411F"/>
    <w:rsid w:val="00804F36"/>
    <w:rsid w:val="0080517A"/>
    <w:rsid w:val="008059B8"/>
    <w:rsid w:val="008059DD"/>
    <w:rsid w:val="00805A0F"/>
    <w:rsid w:val="00805EBB"/>
    <w:rsid w:val="0081085D"/>
    <w:rsid w:val="00814528"/>
    <w:rsid w:val="0081572B"/>
    <w:rsid w:val="0081582A"/>
    <w:rsid w:val="008159C5"/>
    <w:rsid w:val="00817BD7"/>
    <w:rsid w:val="0082081D"/>
    <w:rsid w:val="0082144F"/>
    <w:rsid w:val="00823B32"/>
    <w:rsid w:val="008272FF"/>
    <w:rsid w:val="008414B0"/>
    <w:rsid w:val="00844BD4"/>
    <w:rsid w:val="00845008"/>
    <w:rsid w:val="00845CBE"/>
    <w:rsid w:val="008461A8"/>
    <w:rsid w:val="008466CD"/>
    <w:rsid w:val="00850049"/>
    <w:rsid w:val="008516ED"/>
    <w:rsid w:val="00852BDF"/>
    <w:rsid w:val="00854613"/>
    <w:rsid w:val="00861649"/>
    <w:rsid w:val="00861A56"/>
    <w:rsid w:val="0086432E"/>
    <w:rsid w:val="008667C3"/>
    <w:rsid w:val="00867DAF"/>
    <w:rsid w:val="00872277"/>
    <w:rsid w:val="0087313F"/>
    <w:rsid w:val="00874378"/>
    <w:rsid w:val="0087618D"/>
    <w:rsid w:val="008765BD"/>
    <w:rsid w:val="00877085"/>
    <w:rsid w:val="0088282A"/>
    <w:rsid w:val="00882D10"/>
    <w:rsid w:val="00882D40"/>
    <w:rsid w:val="00885222"/>
    <w:rsid w:val="008860A8"/>
    <w:rsid w:val="00887AFC"/>
    <w:rsid w:val="0089087F"/>
    <w:rsid w:val="008933EB"/>
    <w:rsid w:val="00896B99"/>
    <w:rsid w:val="008A01B2"/>
    <w:rsid w:val="008A0BA6"/>
    <w:rsid w:val="008A2E1F"/>
    <w:rsid w:val="008A35AF"/>
    <w:rsid w:val="008A3E94"/>
    <w:rsid w:val="008A4316"/>
    <w:rsid w:val="008A60CC"/>
    <w:rsid w:val="008B0388"/>
    <w:rsid w:val="008B5FC5"/>
    <w:rsid w:val="008B684C"/>
    <w:rsid w:val="008B6A87"/>
    <w:rsid w:val="008B7189"/>
    <w:rsid w:val="008B738B"/>
    <w:rsid w:val="008C1B1B"/>
    <w:rsid w:val="008C37F8"/>
    <w:rsid w:val="008C3EA4"/>
    <w:rsid w:val="008C6717"/>
    <w:rsid w:val="008C712B"/>
    <w:rsid w:val="008D025B"/>
    <w:rsid w:val="008D0D9F"/>
    <w:rsid w:val="008D0FFA"/>
    <w:rsid w:val="008D4713"/>
    <w:rsid w:val="008D58C1"/>
    <w:rsid w:val="008D680F"/>
    <w:rsid w:val="008D70F0"/>
    <w:rsid w:val="008E03C6"/>
    <w:rsid w:val="008E0407"/>
    <w:rsid w:val="008E518F"/>
    <w:rsid w:val="008E5243"/>
    <w:rsid w:val="008F0E52"/>
    <w:rsid w:val="008F0FF3"/>
    <w:rsid w:val="008F2371"/>
    <w:rsid w:val="008F2529"/>
    <w:rsid w:val="008F4620"/>
    <w:rsid w:val="008F6191"/>
    <w:rsid w:val="008F64D4"/>
    <w:rsid w:val="008F7963"/>
    <w:rsid w:val="00900AD5"/>
    <w:rsid w:val="00900D3B"/>
    <w:rsid w:val="0090645A"/>
    <w:rsid w:val="00907197"/>
    <w:rsid w:val="00907435"/>
    <w:rsid w:val="00907586"/>
    <w:rsid w:val="009076E4"/>
    <w:rsid w:val="00910586"/>
    <w:rsid w:val="00911E5B"/>
    <w:rsid w:val="00914717"/>
    <w:rsid w:val="0091704A"/>
    <w:rsid w:val="00917334"/>
    <w:rsid w:val="00917349"/>
    <w:rsid w:val="009203FA"/>
    <w:rsid w:val="0092046E"/>
    <w:rsid w:val="00920BBD"/>
    <w:rsid w:val="009223F4"/>
    <w:rsid w:val="00923BB5"/>
    <w:rsid w:val="00924935"/>
    <w:rsid w:val="00924D42"/>
    <w:rsid w:val="00930145"/>
    <w:rsid w:val="009323FA"/>
    <w:rsid w:val="009352BA"/>
    <w:rsid w:val="00940209"/>
    <w:rsid w:val="009416D1"/>
    <w:rsid w:val="00943AB4"/>
    <w:rsid w:val="00944DDF"/>
    <w:rsid w:val="009542BA"/>
    <w:rsid w:val="00956140"/>
    <w:rsid w:val="009561DF"/>
    <w:rsid w:val="00957580"/>
    <w:rsid w:val="009575FF"/>
    <w:rsid w:val="009602A8"/>
    <w:rsid w:val="00960490"/>
    <w:rsid w:val="00962438"/>
    <w:rsid w:val="00963893"/>
    <w:rsid w:val="009652CE"/>
    <w:rsid w:val="009678F2"/>
    <w:rsid w:val="0097038D"/>
    <w:rsid w:val="00971E74"/>
    <w:rsid w:val="00973893"/>
    <w:rsid w:val="00973C89"/>
    <w:rsid w:val="009766DF"/>
    <w:rsid w:val="009810D0"/>
    <w:rsid w:val="009817BB"/>
    <w:rsid w:val="0098190E"/>
    <w:rsid w:val="00982BE9"/>
    <w:rsid w:val="00982FB2"/>
    <w:rsid w:val="00983471"/>
    <w:rsid w:val="009844DE"/>
    <w:rsid w:val="00985167"/>
    <w:rsid w:val="009851B9"/>
    <w:rsid w:val="00987CC0"/>
    <w:rsid w:val="0099152A"/>
    <w:rsid w:val="00992DB2"/>
    <w:rsid w:val="00993CCC"/>
    <w:rsid w:val="00995449"/>
    <w:rsid w:val="00995A62"/>
    <w:rsid w:val="00996A13"/>
    <w:rsid w:val="009A1584"/>
    <w:rsid w:val="009A367E"/>
    <w:rsid w:val="009A3AD4"/>
    <w:rsid w:val="009A41BF"/>
    <w:rsid w:val="009B30E3"/>
    <w:rsid w:val="009B331D"/>
    <w:rsid w:val="009B6722"/>
    <w:rsid w:val="009B72B5"/>
    <w:rsid w:val="009B783B"/>
    <w:rsid w:val="009B79BD"/>
    <w:rsid w:val="009C16F1"/>
    <w:rsid w:val="009C2198"/>
    <w:rsid w:val="009C3E17"/>
    <w:rsid w:val="009C440D"/>
    <w:rsid w:val="009C621D"/>
    <w:rsid w:val="009C62C2"/>
    <w:rsid w:val="009C6DAB"/>
    <w:rsid w:val="009C6E42"/>
    <w:rsid w:val="009C7911"/>
    <w:rsid w:val="009C7C68"/>
    <w:rsid w:val="009D1223"/>
    <w:rsid w:val="009D269A"/>
    <w:rsid w:val="009D48A3"/>
    <w:rsid w:val="009E35B8"/>
    <w:rsid w:val="009E3D34"/>
    <w:rsid w:val="009E5794"/>
    <w:rsid w:val="009E64F0"/>
    <w:rsid w:val="009F0844"/>
    <w:rsid w:val="009F399C"/>
    <w:rsid w:val="009F3AAA"/>
    <w:rsid w:val="009F5998"/>
    <w:rsid w:val="00A0110E"/>
    <w:rsid w:val="00A01B43"/>
    <w:rsid w:val="00A02FBC"/>
    <w:rsid w:val="00A0677D"/>
    <w:rsid w:val="00A07722"/>
    <w:rsid w:val="00A106F8"/>
    <w:rsid w:val="00A11F35"/>
    <w:rsid w:val="00A13272"/>
    <w:rsid w:val="00A15C81"/>
    <w:rsid w:val="00A217F4"/>
    <w:rsid w:val="00A21A0D"/>
    <w:rsid w:val="00A270B7"/>
    <w:rsid w:val="00A27F34"/>
    <w:rsid w:val="00A3056C"/>
    <w:rsid w:val="00A32782"/>
    <w:rsid w:val="00A339BC"/>
    <w:rsid w:val="00A33FC8"/>
    <w:rsid w:val="00A37127"/>
    <w:rsid w:val="00A3790C"/>
    <w:rsid w:val="00A41D3C"/>
    <w:rsid w:val="00A4275B"/>
    <w:rsid w:val="00A428CD"/>
    <w:rsid w:val="00A45393"/>
    <w:rsid w:val="00A459E7"/>
    <w:rsid w:val="00A503CD"/>
    <w:rsid w:val="00A50501"/>
    <w:rsid w:val="00A50677"/>
    <w:rsid w:val="00A50DF2"/>
    <w:rsid w:val="00A51461"/>
    <w:rsid w:val="00A5207C"/>
    <w:rsid w:val="00A5563E"/>
    <w:rsid w:val="00A55895"/>
    <w:rsid w:val="00A56018"/>
    <w:rsid w:val="00A56103"/>
    <w:rsid w:val="00A561E7"/>
    <w:rsid w:val="00A56B5E"/>
    <w:rsid w:val="00A56E3D"/>
    <w:rsid w:val="00A571EA"/>
    <w:rsid w:val="00A60105"/>
    <w:rsid w:val="00A61E65"/>
    <w:rsid w:val="00A62437"/>
    <w:rsid w:val="00A659CA"/>
    <w:rsid w:val="00A65DBF"/>
    <w:rsid w:val="00A66A25"/>
    <w:rsid w:val="00A66AC6"/>
    <w:rsid w:val="00A675A9"/>
    <w:rsid w:val="00A70797"/>
    <w:rsid w:val="00A742C5"/>
    <w:rsid w:val="00A76180"/>
    <w:rsid w:val="00A76618"/>
    <w:rsid w:val="00A76C24"/>
    <w:rsid w:val="00A77632"/>
    <w:rsid w:val="00A77E35"/>
    <w:rsid w:val="00A806F0"/>
    <w:rsid w:val="00A80A13"/>
    <w:rsid w:val="00A82718"/>
    <w:rsid w:val="00A84180"/>
    <w:rsid w:val="00A85B1E"/>
    <w:rsid w:val="00A8634D"/>
    <w:rsid w:val="00A94B8A"/>
    <w:rsid w:val="00A94E2C"/>
    <w:rsid w:val="00A96101"/>
    <w:rsid w:val="00A96F5B"/>
    <w:rsid w:val="00A97618"/>
    <w:rsid w:val="00AA1D48"/>
    <w:rsid w:val="00AA2BEF"/>
    <w:rsid w:val="00AA3A7E"/>
    <w:rsid w:val="00AA5039"/>
    <w:rsid w:val="00AA65A6"/>
    <w:rsid w:val="00AA6F1F"/>
    <w:rsid w:val="00AB13C5"/>
    <w:rsid w:val="00AB4B25"/>
    <w:rsid w:val="00AB700B"/>
    <w:rsid w:val="00AB706D"/>
    <w:rsid w:val="00AB747A"/>
    <w:rsid w:val="00AB7BDB"/>
    <w:rsid w:val="00AC05A9"/>
    <w:rsid w:val="00AD0052"/>
    <w:rsid w:val="00AD4845"/>
    <w:rsid w:val="00AD53F1"/>
    <w:rsid w:val="00AD6AA2"/>
    <w:rsid w:val="00AD73EE"/>
    <w:rsid w:val="00AE029F"/>
    <w:rsid w:val="00AE0F0F"/>
    <w:rsid w:val="00AE2CFB"/>
    <w:rsid w:val="00AE3577"/>
    <w:rsid w:val="00AE7CE0"/>
    <w:rsid w:val="00AF004D"/>
    <w:rsid w:val="00AF39FE"/>
    <w:rsid w:val="00AF3C4A"/>
    <w:rsid w:val="00B012F9"/>
    <w:rsid w:val="00B03A87"/>
    <w:rsid w:val="00B04ECD"/>
    <w:rsid w:val="00B0553C"/>
    <w:rsid w:val="00B06C9E"/>
    <w:rsid w:val="00B0714C"/>
    <w:rsid w:val="00B07F67"/>
    <w:rsid w:val="00B10738"/>
    <w:rsid w:val="00B10839"/>
    <w:rsid w:val="00B11623"/>
    <w:rsid w:val="00B11D00"/>
    <w:rsid w:val="00B11F94"/>
    <w:rsid w:val="00B158C3"/>
    <w:rsid w:val="00B17519"/>
    <w:rsid w:val="00B17C1E"/>
    <w:rsid w:val="00B17F20"/>
    <w:rsid w:val="00B20AD0"/>
    <w:rsid w:val="00B218DA"/>
    <w:rsid w:val="00B257B0"/>
    <w:rsid w:val="00B25EA5"/>
    <w:rsid w:val="00B32905"/>
    <w:rsid w:val="00B33076"/>
    <w:rsid w:val="00B34F4F"/>
    <w:rsid w:val="00B34FFC"/>
    <w:rsid w:val="00B369DC"/>
    <w:rsid w:val="00B401B2"/>
    <w:rsid w:val="00B40865"/>
    <w:rsid w:val="00B43AD0"/>
    <w:rsid w:val="00B43C98"/>
    <w:rsid w:val="00B4496E"/>
    <w:rsid w:val="00B44F99"/>
    <w:rsid w:val="00B45129"/>
    <w:rsid w:val="00B5121F"/>
    <w:rsid w:val="00B51412"/>
    <w:rsid w:val="00B51673"/>
    <w:rsid w:val="00B524DE"/>
    <w:rsid w:val="00B53924"/>
    <w:rsid w:val="00B57022"/>
    <w:rsid w:val="00B6126A"/>
    <w:rsid w:val="00B62019"/>
    <w:rsid w:val="00B62DAD"/>
    <w:rsid w:val="00B63666"/>
    <w:rsid w:val="00B70732"/>
    <w:rsid w:val="00B72DCE"/>
    <w:rsid w:val="00B74BE0"/>
    <w:rsid w:val="00B76CC4"/>
    <w:rsid w:val="00B80169"/>
    <w:rsid w:val="00B81E69"/>
    <w:rsid w:val="00B830E3"/>
    <w:rsid w:val="00B84E89"/>
    <w:rsid w:val="00B85BB8"/>
    <w:rsid w:val="00B90281"/>
    <w:rsid w:val="00B94D6A"/>
    <w:rsid w:val="00B9702D"/>
    <w:rsid w:val="00B97C9E"/>
    <w:rsid w:val="00BA1A29"/>
    <w:rsid w:val="00BA5D0C"/>
    <w:rsid w:val="00BA61EC"/>
    <w:rsid w:val="00BA64E3"/>
    <w:rsid w:val="00BA7DDA"/>
    <w:rsid w:val="00BB09BF"/>
    <w:rsid w:val="00BB2415"/>
    <w:rsid w:val="00BB273F"/>
    <w:rsid w:val="00BB3AD7"/>
    <w:rsid w:val="00BB3D6D"/>
    <w:rsid w:val="00BB4B88"/>
    <w:rsid w:val="00BB53B5"/>
    <w:rsid w:val="00BB74B2"/>
    <w:rsid w:val="00BC3DB0"/>
    <w:rsid w:val="00BC6E9A"/>
    <w:rsid w:val="00BD0C7E"/>
    <w:rsid w:val="00BD10B1"/>
    <w:rsid w:val="00BD5E5F"/>
    <w:rsid w:val="00BD627D"/>
    <w:rsid w:val="00BE0E47"/>
    <w:rsid w:val="00BE1E66"/>
    <w:rsid w:val="00BE24BF"/>
    <w:rsid w:val="00BE2BDE"/>
    <w:rsid w:val="00BE3CBB"/>
    <w:rsid w:val="00BE6DA2"/>
    <w:rsid w:val="00BF02AD"/>
    <w:rsid w:val="00BF2ACC"/>
    <w:rsid w:val="00BF7560"/>
    <w:rsid w:val="00C01B52"/>
    <w:rsid w:val="00C0354C"/>
    <w:rsid w:val="00C04D7B"/>
    <w:rsid w:val="00C06E9A"/>
    <w:rsid w:val="00C0737E"/>
    <w:rsid w:val="00C12AF7"/>
    <w:rsid w:val="00C13872"/>
    <w:rsid w:val="00C13BDA"/>
    <w:rsid w:val="00C158D5"/>
    <w:rsid w:val="00C15917"/>
    <w:rsid w:val="00C1707E"/>
    <w:rsid w:val="00C1735C"/>
    <w:rsid w:val="00C17A62"/>
    <w:rsid w:val="00C203F0"/>
    <w:rsid w:val="00C26FA5"/>
    <w:rsid w:val="00C2787B"/>
    <w:rsid w:val="00C32375"/>
    <w:rsid w:val="00C34050"/>
    <w:rsid w:val="00C359AC"/>
    <w:rsid w:val="00C433C0"/>
    <w:rsid w:val="00C4419E"/>
    <w:rsid w:val="00C44FED"/>
    <w:rsid w:val="00C47BCC"/>
    <w:rsid w:val="00C602C0"/>
    <w:rsid w:val="00C6297C"/>
    <w:rsid w:val="00C63B14"/>
    <w:rsid w:val="00C640BD"/>
    <w:rsid w:val="00C65594"/>
    <w:rsid w:val="00C67388"/>
    <w:rsid w:val="00C678D6"/>
    <w:rsid w:val="00C70B64"/>
    <w:rsid w:val="00C733ED"/>
    <w:rsid w:val="00C740B2"/>
    <w:rsid w:val="00C75593"/>
    <w:rsid w:val="00C76A14"/>
    <w:rsid w:val="00C77681"/>
    <w:rsid w:val="00C81BAA"/>
    <w:rsid w:val="00C81BBA"/>
    <w:rsid w:val="00C81D5A"/>
    <w:rsid w:val="00C82116"/>
    <w:rsid w:val="00C82D8B"/>
    <w:rsid w:val="00C8397D"/>
    <w:rsid w:val="00C8557C"/>
    <w:rsid w:val="00C85972"/>
    <w:rsid w:val="00C86050"/>
    <w:rsid w:val="00C8622A"/>
    <w:rsid w:val="00C86F92"/>
    <w:rsid w:val="00C876CD"/>
    <w:rsid w:val="00C91F78"/>
    <w:rsid w:val="00C92FB1"/>
    <w:rsid w:val="00C930BF"/>
    <w:rsid w:val="00C93746"/>
    <w:rsid w:val="00C938B4"/>
    <w:rsid w:val="00C9478B"/>
    <w:rsid w:val="00C94AF9"/>
    <w:rsid w:val="00C94B65"/>
    <w:rsid w:val="00C94CCF"/>
    <w:rsid w:val="00CA041A"/>
    <w:rsid w:val="00CA1080"/>
    <w:rsid w:val="00CA1AB7"/>
    <w:rsid w:val="00CA2BA9"/>
    <w:rsid w:val="00CA2C19"/>
    <w:rsid w:val="00CA4353"/>
    <w:rsid w:val="00CA48C4"/>
    <w:rsid w:val="00CA49F9"/>
    <w:rsid w:val="00CA67D5"/>
    <w:rsid w:val="00CA6FD1"/>
    <w:rsid w:val="00CA7B0D"/>
    <w:rsid w:val="00CB06F0"/>
    <w:rsid w:val="00CB0B5B"/>
    <w:rsid w:val="00CB0FB4"/>
    <w:rsid w:val="00CB63F4"/>
    <w:rsid w:val="00CB6DB4"/>
    <w:rsid w:val="00CC0955"/>
    <w:rsid w:val="00CC1CF1"/>
    <w:rsid w:val="00CC2659"/>
    <w:rsid w:val="00CC3FBC"/>
    <w:rsid w:val="00CC49C0"/>
    <w:rsid w:val="00CD22C6"/>
    <w:rsid w:val="00CD284E"/>
    <w:rsid w:val="00CD2F1C"/>
    <w:rsid w:val="00CD323F"/>
    <w:rsid w:val="00CD3917"/>
    <w:rsid w:val="00CD6612"/>
    <w:rsid w:val="00CD76BE"/>
    <w:rsid w:val="00CD7B8C"/>
    <w:rsid w:val="00CE0F6E"/>
    <w:rsid w:val="00CE1D01"/>
    <w:rsid w:val="00CE3AAF"/>
    <w:rsid w:val="00CE56E9"/>
    <w:rsid w:val="00CF34C5"/>
    <w:rsid w:val="00CF5AD7"/>
    <w:rsid w:val="00CF5FFD"/>
    <w:rsid w:val="00D00C5E"/>
    <w:rsid w:val="00D01C00"/>
    <w:rsid w:val="00D0373E"/>
    <w:rsid w:val="00D04364"/>
    <w:rsid w:val="00D076ED"/>
    <w:rsid w:val="00D11255"/>
    <w:rsid w:val="00D117A9"/>
    <w:rsid w:val="00D12B3D"/>
    <w:rsid w:val="00D15695"/>
    <w:rsid w:val="00D16E4A"/>
    <w:rsid w:val="00D24678"/>
    <w:rsid w:val="00D25176"/>
    <w:rsid w:val="00D32877"/>
    <w:rsid w:val="00D34CA3"/>
    <w:rsid w:val="00D34F35"/>
    <w:rsid w:val="00D404D1"/>
    <w:rsid w:val="00D411EC"/>
    <w:rsid w:val="00D43C90"/>
    <w:rsid w:val="00D449B3"/>
    <w:rsid w:val="00D4672B"/>
    <w:rsid w:val="00D46854"/>
    <w:rsid w:val="00D47D02"/>
    <w:rsid w:val="00D50A9F"/>
    <w:rsid w:val="00D51C73"/>
    <w:rsid w:val="00D53375"/>
    <w:rsid w:val="00D5366F"/>
    <w:rsid w:val="00D5398A"/>
    <w:rsid w:val="00D57E70"/>
    <w:rsid w:val="00D613FE"/>
    <w:rsid w:val="00D6330B"/>
    <w:rsid w:val="00D64A85"/>
    <w:rsid w:val="00D64AD7"/>
    <w:rsid w:val="00D65231"/>
    <w:rsid w:val="00D65588"/>
    <w:rsid w:val="00D678C4"/>
    <w:rsid w:val="00D67A2D"/>
    <w:rsid w:val="00D71E35"/>
    <w:rsid w:val="00D72138"/>
    <w:rsid w:val="00D72DCF"/>
    <w:rsid w:val="00D74C2F"/>
    <w:rsid w:val="00D7554E"/>
    <w:rsid w:val="00D772F9"/>
    <w:rsid w:val="00D803B5"/>
    <w:rsid w:val="00D91A9D"/>
    <w:rsid w:val="00D933E7"/>
    <w:rsid w:val="00D94FC0"/>
    <w:rsid w:val="00D97778"/>
    <w:rsid w:val="00DA0CE9"/>
    <w:rsid w:val="00DA1AE8"/>
    <w:rsid w:val="00DA22B2"/>
    <w:rsid w:val="00DA24CD"/>
    <w:rsid w:val="00DA28F0"/>
    <w:rsid w:val="00DA6212"/>
    <w:rsid w:val="00DA63F0"/>
    <w:rsid w:val="00DA7FED"/>
    <w:rsid w:val="00DB0BE7"/>
    <w:rsid w:val="00DB14F0"/>
    <w:rsid w:val="00DB1F27"/>
    <w:rsid w:val="00DB2203"/>
    <w:rsid w:val="00DB2467"/>
    <w:rsid w:val="00DB32A9"/>
    <w:rsid w:val="00DB3997"/>
    <w:rsid w:val="00DC0053"/>
    <w:rsid w:val="00DC078F"/>
    <w:rsid w:val="00DC2B9E"/>
    <w:rsid w:val="00DC6429"/>
    <w:rsid w:val="00DC7F84"/>
    <w:rsid w:val="00DD3A33"/>
    <w:rsid w:val="00DD5A46"/>
    <w:rsid w:val="00DE0EBD"/>
    <w:rsid w:val="00DE10E0"/>
    <w:rsid w:val="00DE1A75"/>
    <w:rsid w:val="00DE249E"/>
    <w:rsid w:val="00DE3B06"/>
    <w:rsid w:val="00DE424C"/>
    <w:rsid w:val="00DE5422"/>
    <w:rsid w:val="00DE5A44"/>
    <w:rsid w:val="00DF02F5"/>
    <w:rsid w:val="00DF0DC2"/>
    <w:rsid w:val="00DF10B2"/>
    <w:rsid w:val="00DF2CE7"/>
    <w:rsid w:val="00DF5CBE"/>
    <w:rsid w:val="00E027FC"/>
    <w:rsid w:val="00E06E3F"/>
    <w:rsid w:val="00E0703B"/>
    <w:rsid w:val="00E0742A"/>
    <w:rsid w:val="00E13916"/>
    <w:rsid w:val="00E15B01"/>
    <w:rsid w:val="00E20C60"/>
    <w:rsid w:val="00E20F59"/>
    <w:rsid w:val="00E226B2"/>
    <w:rsid w:val="00E23A0C"/>
    <w:rsid w:val="00E26585"/>
    <w:rsid w:val="00E30D7C"/>
    <w:rsid w:val="00E322CE"/>
    <w:rsid w:val="00E32467"/>
    <w:rsid w:val="00E32EE4"/>
    <w:rsid w:val="00E36E27"/>
    <w:rsid w:val="00E3701B"/>
    <w:rsid w:val="00E409F8"/>
    <w:rsid w:val="00E423A1"/>
    <w:rsid w:val="00E4250A"/>
    <w:rsid w:val="00E43B73"/>
    <w:rsid w:val="00E50D0A"/>
    <w:rsid w:val="00E52D6D"/>
    <w:rsid w:val="00E53659"/>
    <w:rsid w:val="00E57FE0"/>
    <w:rsid w:val="00E61CA2"/>
    <w:rsid w:val="00E664AE"/>
    <w:rsid w:val="00E668EB"/>
    <w:rsid w:val="00E67A1C"/>
    <w:rsid w:val="00E67B0C"/>
    <w:rsid w:val="00E70A05"/>
    <w:rsid w:val="00E7765F"/>
    <w:rsid w:val="00E87F6B"/>
    <w:rsid w:val="00E907F2"/>
    <w:rsid w:val="00E92775"/>
    <w:rsid w:val="00E93553"/>
    <w:rsid w:val="00E93B69"/>
    <w:rsid w:val="00EA35E1"/>
    <w:rsid w:val="00EA7201"/>
    <w:rsid w:val="00EA7D36"/>
    <w:rsid w:val="00EB050E"/>
    <w:rsid w:val="00EB1322"/>
    <w:rsid w:val="00EB214E"/>
    <w:rsid w:val="00EB6A12"/>
    <w:rsid w:val="00EB7B54"/>
    <w:rsid w:val="00EB7F34"/>
    <w:rsid w:val="00EC02FF"/>
    <w:rsid w:val="00EC1D27"/>
    <w:rsid w:val="00EC56C5"/>
    <w:rsid w:val="00ED0B42"/>
    <w:rsid w:val="00ED2567"/>
    <w:rsid w:val="00ED4C47"/>
    <w:rsid w:val="00ED4E3A"/>
    <w:rsid w:val="00EE6330"/>
    <w:rsid w:val="00EE6921"/>
    <w:rsid w:val="00EF0542"/>
    <w:rsid w:val="00EF0FCF"/>
    <w:rsid w:val="00EF18A5"/>
    <w:rsid w:val="00EF2E7D"/>
    <w:rsid w:val="00EF3653"/>
    <w:rsid w:val="00EF6753"/>
    <w:rsid w:val="00F004F7"/>
    <w:rsid w:val="00F01616"/>
    <w:rsid w:val="00F037DD"/>
    <w:rsid w:val="00F03B52"/>
    <w:rsid w:val="00F047F4"/>
    <w:rsid w:val="00F116C4"/>
    <w:rsid w:val="00F11736"/>
    <w:rsid w:val="00F11F44"/>
    <w:rsid w:val="00F12758"/>
    <w:rsid w:val="00F13193"/>
    <w:rsid w:val="00F149EE"/>
    <w:rsid w:val="00F20B2F"/>
    <w:rsid w:val="00F2216E"/>
    <w:rsid w:val="00F23A9D"/>
    <w:rsid w:val="00F2493D"/>
    <w:rsid w:val="00F25468"/>
    <w:rsid w:val="00F2665F"/>
    <w:rsid w:val="00F27917"/>
    <w:rsid w:val="00F30C43"/>
    <w:rsid w:val="00F312D5"/>
    <w:rsid w:val="00F3167B"/>
    <w:rsid w:val="00F325FC"/>
    <w:rsid w:val="00F34BED"/>
    <w:rsid w:val="00F36914"/>
    <w:rsid w:val="00F40351"/>
    <w:rsid w:val="00F42257"/>
    <w:rsid w:val="00F528CC"/>
    <w:rsid w:val="00F52A6D"/>
    <w:rsid w:val="00F5461B"/>
    <w:rsid w:val="00F55A28"/>
    <w:rsid w:val="00F56D8D"/>
    <w:rsid w:val="00F6497C"/>
    <w:rsid w:val="00F74E43"/>
    <w:rsid w:val="00F82CE0"/>
    <w:rsid w:val="00F83DE6"/>
    <w:rsid w:val="00F84046"/>
    <w:rsid w:val="00F85798"/>
    <w:rsid w:val="00F93876"/>
    <w:rsid w:val="00F946C9"/>
    <w:rsid w:val="00F9554D"/>
    <w:rsid w:val="00F959C1"/>
    <w:rsid w:val="00FA10BA"/>
    <w:rsid w:val="00FA218D"/>
    <w:rsid w:val="00FA2272"/>
    <w:rsid w:val="00FA2B6A"/>
    <w:rsid w:val="00FA2B97"/>
    <w:rsid w:val="00FA639C"/>
    <w:rsid w:val="00FA68C4"/>
    <w:rsid w:val="00FA781B"/>
    <w:rsid w:val="00FB0898"/>
    <w:rsid w:val="00FB0D57"/>
    <w:rsid w:val="00FB2623"/>
    <w:rsid w:val="00FB271E"/>
    <w:rsid w:val="00FB3E35"/>
    <w:rsid w:val="00FB4CF0"/>
    <w:rsid w:val="00FB4FEA"/>
    <w:rsid w:val="00FB5549"/>
    <w:rsid w:val="00FC26C3"/>
    <w:rsid w:val="00FC2B20"/>
    <w:rsid w:val="00FD0422"/>
    <w:rsid w:val="00FD2730"/>
    <w:rsid w:val="00FD2DE0"/>
    <w:rsid w:val="00FD497E"/>
    <w:rsid w:val="00FD5A56"/>
    <w:rsid w:val="00FE4F12"/>
    <w:rsid w:val="00FF0ABF"/>
    <w:rsid w:val="00FF13A3"/>
    <w:rsid w:val="00FF1EFC"/>
    <w:rsid w:val="00FF23DB"/>
    <w:rsid w:val="00FF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213EF6"/>
  <w15:chartTrackingRefBased/>
  <w15:docId w15:val="{E0EA44A6-A6E6-4F27-88E3-B1C10BB8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AD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unhideWhenUsed/>
    <w:rsid w:val="0089087F"/>
    <w:pPr>
      <w:spacing w:line="360" w:lineRule="auto"/>
      <w:ind w:firstLineChars="200" w:firstLine="560"/>
    </w:pPr>
    <w:rPr>
      <w:rFonts w:ascii="Times New Roman" w:eastAsia="仿宋_GB2312" w:hAnsi="Times New Roman"/>
      <w:sz w:val="28"/>
      <w:szCs w:val="24"/>
    </w:rPr>
  </w:style>
  <w:style w:type="character" w:customStyle="1" w:styleId="20">
    <w:name w:val="正文文本缩进 2 字符"/>
    <w:link w:val="2"/>
    <w:rsid w:val="0089087F"/>
    <w:rPr>
      <w:rFonts w:ascii="Times New Roman" w:eastAsia="仿宋_GB2312" w:hAnsi="Times New Roman"/>
      <w:kern w:val="2"/>
      <w:sz w:val="28"/>
      <w:szCs w:val="24"/>
    </w:rPr>
  </w:style>
  <w:style w:type="table" w:styleId="a3">
    <w:name w:val="Table Grid"/>
    <w:basedOn w:val="a1"/>
    <w:uiPriority w:val="59"/>
    <w:rsid w:val="00D34C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2"/>
    <w:basedOn w:val="a"/>
    <w:link w:val="22"/>
    <w:rsid w:val="00D34CA3"/>
    <w:rPr>
      <w:rFonts w:ascii="Times New Roman" w:hAnsi="Times New Roman"/>
      <w:sz w:val="28"/>
      <w:szCs w:val="20"/>
    </w:rPr>
  </w:style>
  <w:style w:type="character" w:customStyle="1" w:styleId="22">
    <w:name w:val="正文文本 2 字符"/>
    <w:link w:val="21"/>
    <w:rsid w:val="00D34CA3"/>
    <w:rPr>
      <w:rFonts w:ascii="Times New Roman" w:hAnsi="Times New Roman"/>
      <w:kern w:val="2"/>
      <w:sz w:val="28"/>
    </w:rPr>
  </w:style>
  <w:style w:type="paragraph" w:styleId="a4">
    <w:name w:val="List Paragraph"/>
    <w:basedOn w:val="a"/>
    <w:uiPriority w:val="34"/>
    <w:qFormat/>
    <w:rsid w:val="00CE3AAF"/>
    <w:pPr>
      <w:ind w:firstLineChars="200" w:firstLine="420"/>
    </w:pPr>
  </w:style>
  <w:style w:type="paragraph" w:styleId="a5">
    <w:name w:val="header"/>
    <w:basedOn w:val="a"/>
    <w:link w:val="a6"/>
    <w:unhideWhenUsed/>
    <w:rsid w:val="003435CF"/>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sid w:val="003435CF"/>
    <w:rPr>
      <w:kern w:val="2"/>
      <w:sz w:val="18"/>
      <w:szCs w:val="18"/>
    </w:rPr>
  </w:style>
  <w:style w:type="paragraph" w:styleId="a7">
    <w:name w:val="footer"/>
    <w:basedOn w:val="a"/>
    <w:link w:val="a8"/>
    <w:uiPriority w:val="99"/>
    <w:unhideWhenUsed/>
    <w:rsid w:val="003435CF"/>
    <w:pPr>
      <w:tabs>
        <w:tab w:val="center" w:pos="4153"/>
        <w:tab w:val="right" w:pos="8306"/>
      </w:tabs>
      <w:snapToGrid w:val="0"/>
      <w:jc w:val="left"/>
    </w:pPr>
    <w:rPr>
      <w:sz w:val="18"/>
      <w:szCs w:val="18"/>
    </w:rPr>
  </w:style>
  <w:style w:type="character" w:customStyle="1" w:styleId="a8">
    <w:name w:val="页脚 字符"/>
    <w:link w:val="a7"/>
    <w:uiPriority w:val="99"/>
    <w:rsid w:val="003435CF"/>
    <w:rPr>
      <w:kern w:val="2"/>
      <w:sz w:val="18"/>
      <w:szCs w:val="18"/>
    </w:rPr>
  </w:style>
  <w:style w:type="paragraph" w:styleId="a9">
    <w:name w:val="Document Map"/>
    <w:basedOn w:val="a"/>
    <w:link w:val="aa"/>
    <w:uiPriority w:val="99"/>
    <w:semiHidden/>
    <w:unhideWhenUsed/>
    <w:rsid w:val="0040499B"/>
    <w:rPr>
      <w:rFonts w:ascii="宋体"/>
      <w:sz w:val="18"/>
      <w:szCs w:val="18"/>
    </w:rPr>
  </w:style>
  <w:style w:type="character" w:customStyle="1" w:styleId="aa">
    <w:name w:val="文档结构图 字符"/>
    <w:link w:val="a9"/>
    <w:uiPriority w:val="99"/>
    <w:semiHidden/>
    <w:rsid w:val="0040499B"/>
    <w:rPr>
      <w:rFonts w:ascii="宋体"/>
      <w:kern w:val="2"/>
      <w:sz w:val="18"/>
      <w:szCs w:val="18"/>
    </w:rPr>
  </w:style>
  <w:style w:type="character" w:styleId="ab">
    <w:name w:val="annotation reference"/>
    <w:uiPriority w:val="99"/>
    <w:unhideWhenUsed/>
    <w:qFormat/>
    <w:rsid w:val="003B67AD"/>
    <w:rPr>
      <w:sz w:val="21"/>
      <w:szCs w:val="21"/>
    </w:rPr>
  </w:style>
  <w:style w:type="paragraph" w:styleId="ac">
    <w:name w:val="annotation text"/>
    <w:basedOn w:val="a"/>
    <w:link w:val="ad"/>
    <w:uiPriority w:val="99"/>
    <w:unhideWhenUsed/>
    <w:rsid w:val="003B67AD"/>
    <w:pPr>
      <w:jc w:val="left"/>
    </w:pPr>
  </w:style>
  <w:style w:type="character" w:customStyle="1" w:styleId="ad">
    <w:name w:val="批注文字 字符"/>
    <w:link w:val="ac"/>
    <w:uiPriority w:val="99"/>
    <w:rsid w:val="003B67AD"/>
    <w:rPr>
      <w:kern w:val="2"/>
      <w:sz w:val="21"/>
      <w:szCs w:val="22"/>
    </w:rPr>
  </w:style>
  <w:style w:type="paragraph" w:styleId="ae">
    <w:name w:val="annotation subject"/>
    <w:basedOn w:val="ac"/>
    <w:next w:val="ac"/>
    <w:link w:val="af"/>
    <w:uiPriority w:val="99"/>
    <w:semiHidden/>
    <w:unhideWhenUsed/>
    <w:rsid w:val="003B67AD"/>
    <w:rPr>
      <w:b/>
      <w:bCs/>
    </w:rPr>
  </w:style>
  <w:style w:type="character" w:customStyle="1" w:styleId="af">
    <w:name w:val="批注主题 字符"/>
    <w:link w:val="ae"/>
    <w:uiPriority w:val="99"/>
    <w:semiHidden/>
    <w:rsid w:val="003B67AD"/>
    <w:rPr>
      <w:b/>
      <w:bCs/>
      <w:kern w:val="2"/>
      <w:sz w:val="21"/>
      <w:szCs w:val="22"/>
    </w:rPr>
  </w:style>
  <w:style w:type="paragraph" w:styleId="af0">
    <w:name w:val="Balloon Text"/>
    <w:basedOn w:val="a"/>
    <w:link w:val="af1"/>
    <w:uiPriority w:val="99"/>
    <w:semiHidden/>
    <w:unhideWhenUsed/>
    <w:rsid w:val="003B67AD"/>
    <w:rPr>
      <w:sz w:val="18"/>
      <w:szCs w:val="18"/>
    </w:rPr>
  </w:style>
  <w:style w:type="character" w:customStyle="1" w:styleId="af1">
    <w:name w:val="批注框文本 字符"/>
    <w:link w:val="af0"/>
    <w:uiPriority w:val="99"/>
    <w:semiHidden/>
    <w:rsid w:val="003B67AD"/>
    <w:rPr>
      <w:kern w:val="2"/>
      <w:sz w:val="18"/>
      <w:szCs w:val="18"/>
    </w:rPr>
  </w:style>
  <w:style w:type="paragraph" w:styleId="af2">
    <w:name w:val="Revision"/>
    <w:hidden/>
    <w:uiPriority w:val="99"/>
    <w:semiHidden/>
    <w:rsid w:val="00BB09BF"/>
    <w:rPr>
      <w:kern w:val="2"/>
      <w:sz w:val="21"/>
      <w:szCs w:val="22"/>
    </w:rPr>
  </w:style>
  <w:style w:type="character" w:customStyle="1" w:styleId="unnamed11">
    <w:name w:val="unnamed11"/>
    <w:rsid w:val="006A123A"/>
    <w:rPr>
      <w:rFonts w:ascii="宋体" w:eastAsia="宋体" w:hAnsi="宋体" w:hint="eastAsia"/>
      <w:sz w:val="18"/>
    </w:rPr>
  </w:style>
  <w:style w:type="paragraph" w:styleId="af3">
    <w:name w:val="Normal Indent"/>
    <w:aliases w:val="特点,表正文,正文非缩进,段1,正文缩进1,ALT+Z,no-step,缩进"/>
    <w:basedOn w:val="a"/>
    <w:rsid w:val="00F42257"/>
    <w:pPr>
      <w:ind w:firstLine="420"/>
    </w:pPr>
    <w:rPr>
      <w:rFonts w:ascii="Times New Roman" w:hAnsi="Times New Roman"/>
      <w:szCs w:val="20"/>
    </w:rPr>
  </w:style>
  <w:style w:type="paragraph" w:styleId="af4">
    <w:name w:val="Normal (Web)"/>
    <w:basedOn w:val="a"/>
    <w:uiPriority w:val="99"/>
    <w:unhideWhenUsed/>
    <w:rsid w:val="0048783A"/>
    <w:pPr>
      <w:widowControl/>
      <w:spacing w:before="100" w:beforeAutospacing="1" w:after="100" w:afterAutospacing="1"/>
      <w:jc w:val="left"/>
    </w:pPr>
    <w:rPr>
      <w:rFonts w:ascii="宋体" w:hAnsi="宋体" w:cs="宋体"/>
      <w:kern w:val="0"/>
      <w:sz w:val="24"/>
      <w:szCs w:val="24"/>
    </w:rPr>
  </w:style>
  <w:style w:type="paragraph" w:customStyle="1" w:styleId="ParaChar">
    <w:name w:val="默认段落字体 Para Char"/>
    <w:basedOn w:val="a"/>
    <w:rsid w:val="00ED4C47"/>
    <w:pPr>
      <w:tabs>
        <w:tab w:val="left" w:pos="360"/>
      </w:tabs>
      <w:spacing w:before="312" w:after="312" w:line="360" w:lineRule="auto"/>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77976">
      <w:bodyDiv w:val="1"/>
      <w:marLeft w:val="30"/>
      <w:marRight w:val="30"/>
      <w:marTop w:val="0"/>
      <w:marBottom w:val="0"/>
      <w:divBdr>
        <w:top w:val="none" w:sz="0" w:space="0" w:color="auto"/>
        <w:left w:val="none" w:sz="0" w:space="0" w:color="auto"/>
        <w:bottom w:val="none" w:sz="0" w:space="0" w:color="auto"/>
        <w:right w:val="none" w:sz="0" w:space="0" w:color="auto"/>
      </w:divBdr>
      <w:divsChild>
        <w:div w:id="1115564635">
          <w:marLeft w:val="0"/>
          <w:marRight w:val="0"/>
          <w:marTop w:val="0"/>
          <w:marBottom w:val="0"/>
          <w:divBdr>
            <w:top w:val="none" w:sz="0" w:space="0" w:color="auto"/>
            <w:left w:val="none" w:sz="0" w:space="0" w:color="auto"/>
            <w:bottom w:val="none" w:sz="0" w:space="0" w:color="auto"/>
            <w:right w:val="none" w:sz="0" w:space="0" w:color="auto"/>
          </w:divBdr>
          <w:divsChild>
            <w:div w:id="140124497">
              <w:marLeft w:val="0"/>
              <w:marRight w:val="0"/>
              <w:marTop w:val="0"/>
              <w:marBottom w:val="0"/>
              <w:divBdr>
                <w:top w:val="none" w:sz="0" w:space="0" w:color="auto"/>
                <w:left w:val="none" w:sz="0" w:space="0" w:color="auto"/>
                <w:bottom w:val="none" w:sz="0" w:space="0" w:color="auto"/>
                <w:right w:val="none" w:sz="0" w:space="0" w:color="auto"/>
              </w:divBdr>
              <w:divsChild>
                <w:div w:id="1397051037">
                  <w:marLeft w:val="180"/>
                  <w:marRight w:val="0"/>
                  <w:marTop w:val="0"/>
                  <w:marBottom w:val="0"/>
                  <w:divBdr>
                    <w:top w:val="none" w:sz="0" w:space="0" w:color="auto"/>
                    <w:left w:val="none" w:sz="0" w:space="0" w:color="auto"/>
                    <w:bottom w:val="none" w:sz="0" w:space="0" w:color="auto"/>
                    <w:right w:val="none" w:sz="0" w:space="0" w:color="auto"/>
                  </w:divBdr>
                  <w:divsChild>
                    <w:div w:id="1484198121">
                      <w:marLeft w:val="0"/>
                      <w:marRight w:val="0"/>
                      <w:marTop w:val="0"/>
                      <w:marBottom w:val="0"/>
                      <w:divBdr>
                        <w:top w:val="none" w:sz="0" w:space="0" w:color="auto"/>
                        <w:left w:val="none" w:sz="0" w:space="0" w:color="auto"/>
                        <w:bottom w:val="none" w:sz="0" w:space="0" w:color="auto"/>
                        <w:right w:val="none" w:sz="0" w:space="0" w:color="auto"/>
                      </w:divBdr>
                      <w:divsChild>
                        <w:div w:id="39192853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323880">
      <w:bodyDiv w:val="1"/>
      <w:marLeft w:val="0"/>
      <w:marRight w:val="0"/>
      <w:marTop w:val="0"/>
      <w:marBottom w:val="0"/>
      <w:divBdr>
        <w:top w:val="none" w:sz="0" w:space="0" w:color="auto"/>
        <w:left w:val="none" w:sz="0" w:space="0" w:color="auto"/>
        <w:bottom w:val="none" w:sz="0" w:space="0" w:color="auto"/>
        <w:right w:val="none" w:sz="0" w:space="0" w:color="auto"/>
      </w:divBdr>
    </w:div>
    <w:div w:id="389618401">
      <w:bodyDiv w:val="1"/>
      <w:marLeft w:val="30"/>
      <w:marRight w:val="30"/>
      <w:marTop w:val="0"/>
      <w:marBottom w:val="0"/>
      <w:divBdr>
        <w:top w:val="none" w:sz="0" w:space="0" w:color="auto"/>
        <w:left w:val="none" w:sz="0" w:space="0" w:color="auto"/>
        <w:bottom w:val="none" w:sz="0" w:space="0" w:color="auto"/>
        <w:right w:val="none" w:sz="0" w:space="0" w:color="auto"/>
      </w:divBdr>
      <w:divsChild>
        <w:div w:id="785000084">
          <w:marLeft w:val="0"/>
          <w:marRight w:val="0"/>
          <w:marTop w:val="0"/>
          <w:marBottom w:val="0"/>
          <w:divBdr>
            <w:top w:val="none" w:sz="0" w:space="0" w:color="auto"/>
            <w:left w:val="none" w:sz="0" w:space="0" w:color="auto"/>
            <w:bottom w:val="none" w:sz="0" w:space="0" w:color="auto"/>
            <w:right w:val="none" w:sz="0" w:space="0" w:color="auto"/>
          </w:divBdr>
          <w:divsChild>
            <w:div w:id="2072919863">
              <w:marLeft w:val="0"/>
              <w:marRight w:val="0"/>
              <w:marTop w:val="0"/>
              <w:marBottom w:val="0"/>
              <w:divBdr>
                <w:top w:val="none" w:sz="0" w:space="0" w:color="auto"/>
                <w:left w:val="none" w:sz="0" w:space="0" w:color="auto"/>
                <w:bottom w:val="none" w:sz="0" w:space="0" w:color="auto"/>
                <w:right w:val="none" w:sz="0" w:space="0" w:color="auto"/>
              </w:divBdr>
              <w:divsChild>
                <w:div w:id="297494902">
                  <w:marLeft w:val="180"/>
                  <w:marRight w:val="0"/>
                  <w:marTop w:val="0"/>
                  <w:marBottom w:val="0"/>
                  <w:divBdr>
                    <w:top w:val="none" w:sz="0" w:space="0" w:color="auto"/>
                    <w:left w:val="none" w:sz="0" w:space="0" w:color="auto"/>
                    <w:bottom w:val="none" w:sz="0" w:space="0" w:color="auto"/>
                    <w:right w:val="none" w:sz="0" w:space="0" w:color="auto"/>
                  </w:divBdr>
                  <w:divsChild>
                    <w:div w:id="756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694505">
      <w:bodyDiv w:val="1"/>
      <w:marLeft w:val="0"/>
      <w:marRight w:val="0"/>
      <w:marTop w:val="0"/>
      <w:marBottom w:val="0"/>
      <w:divBdr>
        <w:top w:val="none" w:sz="0" w:space="0" w:color="auto"/>
        <w:left w:val="none" w:sz="0" w:space="0" w:color="auto"/>
        <w:bottom w:val="none" w:sz="0" w:space="0" w:color="auto"/>
        <w:right w:val="none" w:sz="0" w:space="0" w:color="auto"/>
      </w:divBdr>
    </w:div>
    <w:div w:id="445275103">
      <w:bodyDiv w:val="1"/>
      <w:marLeft w:val="30"/>
      <w:marRight w:val="30"/>
      <w:marTop w:val="0"/>
      <w:marBottom w:val="0"/>
      <w:divBdr>
        <w:top w:val="none" w:sz="0" w:space="0" w:color="auto"/>
        <w:left w:val="none" w:sz="0" w:space="0" w:color="auto"/>
        <w:bottom w:val="none" w:sz="0" w:space="0" w:color="auto"/>
        <w:right w:val="none" w:sz="0" w:space="0" w:color="auto"/>
      </w:divBdr>
      <w:divsChild>
        <w:div w:id="134757407">
          <w:marLeft w:val="0"/>
          <w:marRight w:val="0"/>
          <w:marTop w:val="0"/>
          <w:marBottom w:val="0"/>
          <w:divBdr>
            <w:top w:val="none" w:sz="0" w:space="0" w:color="auto"/>
            <w:left w:val="none" w:sz="0" w:space="0" w:color="auto"/>
            <w:bottom w:val="none" w:sz="0" w:space="0" w:color="auto"/>
            <w:right w:val="none" w:sz="0" w:space="0" w:color="auto"/>
          </w:divBdr>
          <w:divsChild>
            <w:div w:id="1611669403">
              <w:marLeft w:val="0"/>
              <w:marRight w:val="0"/>
              <w:marTop w:val="0"/>
              <w:marBottom w:val="0"/>
              <w:divBdr>
                <w:top w:val="none" w:sz="0" w:space="0" w:color="auto"/>
                <w:left w:val="none" w:sz="0" w:space="0" w:color="auto"/>
                <w:bottom w:val="none" w:sz="0" w:space="0" w:color="auto"/>
                <w:right w:val="none" w:sz="0" w:space="0" w:color="auto"/>
              </w:divBdr>
              <w:divsChild>
                <w:div w:id="642387478">
                  <w:marLeft w:val="180"/>
                  <w:marRight w:val="0"/>
                  <w:marTop w:val="0"/>
                  <w:marBottom w:val="0"/>
                  <w:divBdr>
                    <w:top w:val="none" w:sz="0" w:space="0" w:color="auto"/>
                    <w:left w:val="none" w:sz="0" w:space="0" w:color="auto"/>
                    <w:bottom w:val="none" w:sz="0" w:space="0" w:color="auto"/>
                    <w:right w:val="none" w:sz="0" w:space="0" w:color="auto"/>
                  </w:divBdr>
                  <w:divsChild>
                    <w:div w:id="6285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04535">
      <w:bodyDiv w:val="1"/>
      <w:marLeft w:val="0"/>
      <w:marRight w:val="0"/>
      <w:marTop w:val="0"/>
      <w:marBottom w:val="0"/>
      <w:divBdr>
        <w:top w:val="none" w:sz="0" w:space="0" w:color="auto"/>
        <w:left w:val="none" w:sz="0" w:space="0" w:color="auto"/>
        <w:bottom w:val="none" w:sz="0" w:space="0" w:color="auto"/>
        <w:right w:val="none" w:sz="0" w:space="0" w:color="auto"/>
      </w:divBdr>
    </w:div>
    <w:div w:id="776565961">
      <w:bodyDiv w:val="1"/>
      <w:marLeft w:val="30"/>
      <w:marRight w:val="30"/>
      <w:marTop w:val="0"/>
      <w:marBottom w:val="0"/>
      <w:divBdr>
        <w:top w:val="none" w:sz="0" w:space="0" w:color="auto"/>
        <w:left w:val="none" w:sz="0" w:space="0" w:color="auto"/>
        <w:bottom w:val="none" w:sz="0" w:space="0" w:color="auto"/>
        <w:right w:val="none" w:sz="0" w:space="0" w:color="auto"/>
      </w:divBdr>
      <w:divsChild>
        <w:div w:id="1312447986">
          <w:marLeft w:val="0"/>
          <w:marRight w:val="0"/>
          <w:marTop w:val="0"/>
          <w:marBottom w:val="0"/>
          <w:divBdr>
            <w:top w:val="none" w:sz="0" w:space="0" w:color="auto"/>
            <w:left w:val="none" w:sz="0" w:space="0" w:color="auto"/>
            <w:bottom w:val="none" w:sz="0" w:space="0" w:color="auto"/>
            <w:right w:val="none" w:sz="0" w:space="0" w:color="auto"/>
          </w:divBdr>
          <w:divsChild>
            <w:div w:id="1810128424">
              <w:marLeft w:val="0"/>
              <w:marRight w:val="0"/>
              <w:marTop w:val="0"/>
              <w:marBottom w:val="0"/>
              <w:divBdr>
                <w:top w:val="none" w:sz="0" w:space="0" w:color="auto"/>
                <w:left w:val="none" w:sz="0" w:space="0" w:color="auto"/>
                <w:bottom w:val="none" w:sz="0" w:space="0" w:color="auto"/>
                <w:right w:val="none" w:sz="0" w:space="0" w:color="auto"/>
              </w:divBdr>
              <w:divsChild>
                <w:div w:id="963271162">
                  <w:marLeft w:val="180"/>
                  <w:marRight w:val="0"/>
                  <w:marTop w:val="0"/>
                  <w:marBottom w:val="0"/>
                  <w:divBdr>
                    <w:top w:val="none" w:sz="0" w:space="0" w:color="auto"/>
                    <w:left w:val="none" w:sz="0" w:space="0" w:color="auto"/>
                    <w:bottom w:val="none" w:sz="0" w:space="0" w:color="auto"/>
                    <w:right w:val="none" w:sz="0" w:space="0" w:color="auto"/>
                  </w:divBdr>
                  <w:divsChild>
                    <w:div w:id="47538191">
                      <w:marLeft w:val="0"/>
                      <w:marRight w:val="0"/>
                      <w:marTop w:val="0"/>
                      <w:marBottom w:val="0"/>
                      <w:divBdr>
                        <w:top w:val="none" w:sz="0" w:space="0" w:color="auto"/>
                        <w:left w:val="none" w:sz="0" w:space="0" w:color="auto"/>
                        <w:bottom w:val="none" w:sz="0" w:space="0" w:color="auto"/>
                        <w:right w:val="none" w:sz="0" w:space="0" w:color="auto"/>
                      </w:divBdr>
                      <w:divsChild>
                        <w:div w:id="89863349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062190">
      <w:bodyDiv w:val="1"/>
      <w:marLeft w:val="0"/>
      <w:marRight w:val="0"/>
      <w:marTop w:val="0"/>
      <w:marBottom w:val="0"/>
      <w:divBdr>
        <w:top w:val="none" w:sz="0" w:space="0" w:color="auto"/>
        <w:left w:val="none" w:sz="0" w:space="0" w:color="auto"/>
        <w:bottom w:val="none" w:sz="0" w:space="0" w:color="auto"/>
        <w:right w:val="none" w:sz="0" w:space="0" w:color="auto"/>
      </w:divBdr>
    </w:div>
    <w:div w:id="1217816701">
      <w:bodyDiv w:val="1"/>
      <w:marLeft w:val="0"/>
      <w:marRight w:val="0"/>
      <w:marTop w:val="0"/>
      <w:marBottom w:val="0"/>
      <w:divBdr>
        <w:top w:val="none" w:sz="0" w:space="0" w:color="auto"/>
        <w:left w:val="none" w:sz="0" w:space="0" w:color="auto"/>
        <w:bottom w:val="none" w:sz="0" w:space="0" w:color="auto"/>
        <w:right w:val="none" w:sz="0" w:space="0" w:color="auto"/>
      </w:divBdr>
    </w:div>
    <w:div w:id="1350529087">
      <w:bodyDiv w:val="1"/>
      <w:marLeft w:val="0"/>
      <w:marRight w:val="0"/>
      <w:marTop w:val="0"/>
      <w:marBottom w:val="0"/>
      <w:divBdr>
        <w:top w:val="none" w:sz="0" w:space="0" w:color="auto"/>
        <w:left w:val="none" w:sz="0" w:space="0" w:color="auto"/>
        <w:bottom w:val="none" w:sz="0" w:space="0" w:color="auto"/>
        <w:right w:val="none" w:sz="0" w:space="0" w:color="auto"/>
      </w:divBdr>
      <w:divsChild>
        <w:div w:id="697700001">
          <w:marLeft w:val="547"/>
          <w:marRight w:val="0"/>
          <w:marTop w:val="120"/>
          <w:marBottom w:val="120"/>
          <w:divBdr>
            <w:top w:val="none" w:sz="0" w:space="0" w:color="auto"/>
            <w:left w:val="none" w:sz="0" w:space="0" w:color="auto"/>
            <w:bottom w:val="none" w:sz="0" w:space="0" w:color="auto"/>
            <w:right w:val="none" w:sz="0" w:space="0" w:color="auto"/>
          </w:divBdr>
        </w:div>
      </w:divsChild>
    </w:div>
    <w:div w:id="1394813742">
      <w:bodyDiv w:val="1"/>
      <w:marLeft w:val="0"/>
      <w:marRight w:val="0"/>
      <w:marTop w:val="0"/>
      <w:marBottom w:val="0"/>
      <w:divBdr>
        <w:top w:val="none" w:sz="0" w:space="0" w:color="auto"/>
        <w:left w:val="none" w:sz="0" w:space="0" w:color="auto"/>
        <w:bottom w:val="none" w:sz="0" w:space="0" w:color="auto"/>
        <w:right w:val="none" w:sz="0" w:space="0" w:color="auto"/>
      </w:divBdr>
    </w:div>
    <w:div w:id="1937443501">
      <w:bodyDiv w:val="1"/>
      <w:marLeft w:val="30"/>
      <w:marRight w:val="30"/>
      <w:marTop w:val="0"/>
      <w:marBottom w:val="0"/>
      <w:divBdr>
        <w:top w:val="none" w:sz="0" w:space="0" w:color="auto"/>
        <w:left w:val="none" w:sz="0" w:space="0" w:color="auto"/>
        <w:bottom w:val="none" w:sz="0" w:space="0" w:color="auto"/>
        <w:right w:val="none" w:sz="0" w:space="0" w:color="auto"/>
      </w:divBdr>
      <w:divsChild>
        <w:div w:id="424348886">
          <w:marLeft w:val="0"/>
          <w:marRight w:val="0"/>
          <w:marTop w:val="0"/>
          <w:marBottom w:val="0"/>
          <w:divBdr>
            <w:top w:val="none" w:sz="0" w:space="0" w:color="auto"/>
            <w:left w:val="none" w:sz="0" w:space="0" w:color="auto"/>
            <w:bottom w:val="none" w:sz="0" w:space="0" w:color="auto"/>
            <w:right w:val="none" w:sz="0" w:space="0" w:color="auto"/>
          </w:divBdr>
          <w:divsChild>
            <w:div w:id="1963728298">
              <w:marLeft w:val="0"/>
              <w:marRight w:val="0"/>
              <w:marTop w:val="0"/>
              <w:marBottom w:val="0"/>
              <w:divBdr>
                <w:top w:val="none" w:sz="0" w:space="0" w:color="auto"/>
                <w:left w:val="none" w:sz="0" w:space="0" w:color="auto"/>
                <w:bottom w:val="none" w:sz="0" w:space="0" w:color="auto"/>
                <w:right w:val="none" w:sz="0" w:space="0" w:color="auto"/>
              </w:divBdr>
              <w:divsChild>
                <w:div w:id="742023068">
                  <w:marLeft w:val="180"/>
                  <w:marRight w:val="0"/>
                  <w:marTop w:val="0"/>
                  <w:marBottom w:val="0"/>
                  <w:divBdr>
                    <w:top w:val="none" w:sz="0" w:space="0" w:color="auto"/>
                    <w:left w:val="none" w:sz="0" w:space="0" w:color="auto"/>
                    <w:bottom w:val="none" w:sz="0" w:space="0" w:color="auto"/>
                    <w:right w:val="none" w:sz="0" w:space="0" w:color="auto"/>
                  </w:divBdr>
                  <w:divsChild>
                    <w:div w:id="1186097237">
                      <w:marLeft w:val="0"/>
                      <w:marRight w:val="0"/>
                      <w:marTop w:val="0"/>
                      <w:marBottom w:val="0"/>
                      <w:divBdr>
                        <w:top w:val="none" w:sz="0" w:space="0" w:color="auto"/>
                        <w:left w:val="none" w:sz="0" w:space="0" w:color="auto"/>
                        <w:bottom w:val="none" w:sz="0" w:space="0" w:color="auto"/>
                        <w:right w:val="none" w:sz="0" w:space="0" w:color="auto"/>
                      </w:divBdr>
                      <w:divsChild>
                        <w:div w:id="152177459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B6C44-4609-487C-9915-1EABF522B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1241</Words>
  <Characters>7078</Characters>
  <Application>Microsoft Office Word</Application>
  <DocSecurity>0</DocSecurity>
  <Lines>58</Lines>
  <Paragraphs>16</Paragraphs>
  <ScaleCrop>false</ScaleCrop>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luoyiling_ai</dc:creator>
  <cp:keywords/>
  <cp:lastModifiedBy>罗依灵</cp:lastModifiedBy>
  <cp:revision>7</cp:revision>
  <cp:lastPrinted>2014-06-20T02:07:00Z</cp:lastPrinted>
  <dcterms:created xsi:type="dcterms:W3CDTF">2024-12-26T08:25:00Z</dcterms:created>
  <dcterms:modified xsi:type="dcterms:W3CDTF">2026-02-04T03:38:00Z</dcterms:modified>
</cp:coreProperties>
</file>