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rPr>
          <w:rFonts w:ascii="仿宋" w:eastAsia="仿宋" w:hAnsi="仿宋"/>
          <w:b/>
          <w:color w:val="FFFFFF"/>
          <w:sz w:val="30"/>
          <w:szCs w:val="30"/>
        </w:rPr>
      </w:pPr>
    </w:p>
    <w:p w:rsidR="00FB6E0F" w:rsidRPr="00863AE0" w:rsidRDefault="00FB6E0F" w:rsidP="00FB6E0F">
      <w:pPr>
        <w:snapToGrid w:val="0"/>
        <w:spacing w:line="360" w:lineRule="auto"/>
        <w:jc w:val="center"/>
        <w:rPr>
          <w:rFonts w:ascii="仿宋" w:eastAsia="仿宋" w:hAnsi="仿宋"/>
          <w:sz w:val="28"/>
        </w:rPr>
      </w:pPr>
      <w:r w:rsidRPr="00863AE0">
        <w:rPr>
          <w:rFonts w:ascii="仿宋" w:eastAsia="仿宋" w:hAnsi="仿宋" w:hint="eastAsia"/>
          <w:sz w:val="28"/>
        </w:rPr>
        <w:t>南基〔</w:t>
      </w:r>
      <w:r w:rsidR="00360816">
        <w:rPr>
          <w:rFonts w:ascii="仿宋" w:eastAsia="仿宋" w:hAnsi="仿宋" w:hint="eastAsia"/>
          <w:sz w:val="28"/>
        </w:rPr>
        <w:t>{{文号年份}}</w:t>
      </w:r>
      <w:r w:rsidRPr="00863AE0">
        <w:rPr>
          <w:rFonts w:ascii="仿宋" w:eastAsia="仿宋" w:hAnsi="仿宋" w:hint="eastAsia"/>
          <w:sz w:val="28"/>
        </w:rPr>
        <w:t>〕号</w:t>
      </w:r>
    </w:p>
    <w:p w:rsidR="00E07F70" w:rsidRPr="00863AE0" w:rsidRDefault="00E07F70" w:rsidP="00E07F70">
      <w:pPr>
        <w:snapToGrid w:val="0"/>
        <w:spacing w:line="360" w:lineRule="auto"/>
        <w:rPr>
          <w:rFonts w:ascii="仿宋" w:eastAsia="仿宋" w:hAnsi="仿宋"/>
          <w:sz w:val="28"/>
        </w:rPr>
      </w:pPr>
    </w:p>
    <w:p w:rsidR="00E07F70" w:rsidRPr="004D3B47" w:rsidRDefault="00F16AAA" w:rsidP="004D3B47">
      <w:pPr>
        <w:pStyle w:val="a4"/>
        <w:snapToGrid w:val="0"/>
        <w:spacing w:line="360" w:lineRule="auto"/>
        <w:rPr>
          <w:rFonts w:asciiTheme="majorEastAsia" w:eastAsiaTheme="majorEastAsia" w:hAnsiTheme="majorEastAsia"/>
          <w:sz w:val="36"/>
          <w:szCs w:val="36"/>
        </w:rPr>
      </w:pPr>
      <w:r>
        <w:rPr>
          <w:rFonts w:asciiTheme="majorEastAsia" w:eastAsiaTheme="majorEastAsia" w:hAnsiTheme="majorEastAsia" w:hint="eastAsia"/>
          <w:sz w:val="36"/>
          <w:szCs w:val="36"/>
        </w:rPr>
        <w:t>南方</w:t>
      </w:r>
      <w:r w:rsidR="00360816">
        <w:rPr>
          <w:rFonts w:asciiTheme="majorEastAsia" w:eastAsiaTheme="majorEastAsia" w:hAnsiTheme="majorEastAsia" w:hint="eastAsia"/>
          <w:sz w:val="36"/>
          <w:szCs w:val="36"/>
        </w:rPr>
        <w:t>{{指数名称}}</w:t>
      </w:r>
      <w:r>
        <w:rPr>
          <w:rFonts w:asciiTheme="majorEastAsia" w:eastAsiaTheme="majorEastAsia" w:hAnsiTheme="majorEastAsia" w:hint="eastAsia"/>
          <w:sz w:val="36"/>
          <w:szCs w:val="36"/>
        </w:rPr>
        <w:t>交易型开放式指数证券投资基金</w:t>
      </w:r>
      <w:r w:rsidR="009B3569">
        <w:rPr>
          <w:rFonts w:asciiTheme="majorEastAsia" w:eastAsiaTheme="majorEastAsia" w:hAnsiTheme="majorEastAsia" w:hint="eastAsia"/>
          <w:sz w:val="36"/>
          <w:szCs w:val="36"/>
        </w:rPr>
        <w:t>发起式</w:t>
      </w:r>
      <w:r>
        <w:rPr>
          <w:rFonts w:asciiTheme="majorEastAsia" w:eastAsiaTheme="majorEastAsia" w:hAnsiTheme="majorEastAsia" w:hint="eastAsia"/>
          <w:sz w:val="36"/>
          <w:szCs w:val="36"/>
        </w:rPr>
        <w:t>联接基金</w:t>
      </w:r>
      <w:r w:rsidR="00E07F70" w:rsidRPr="004D3B47">
        <w:rPr>
          <w:rFonts w:asciiTheme="majorEastAsia" w:eastAsiaTheme="majorEastAsia" w:hAnsiTheme="majorEastAsia" w:hint="eastAsia"/>
          <w:sz w:val="36"/>
          <w:szCs w:val="36"/>
        </w:rPr>
        <w:t>流动性风险评估报告</w:t>
      </w:r>
    </w:p>
    <w:p w:rsidR="00E07F70" w:rsidRPr="00F16AAA" w:rsidRDefault="00E07F70" w:rsidP="00E07F70">
      <w:pPr>
        <w:pStyle w:val="a4"/>
        <w:snapToGrid w:val="0"/>
        <w:spacing w:line="360" w:lineRule="auto"/>
        <w:rPr>
          <w:rFonts w:ascii="仿宋" w:eastAsia="仿宋" w:hAnsi="仿宋"/>
          <w:b w:val="0"/>
          <w:sz w:val="28"/>
        </w:rPr>
      </w:pPr>
    </w:p>
    <w:p w:rsidR="00E07F70" w:rsidRPr="00AD1CED" w:rsidRDefault="00CB1AF9" w:rsidP="00604924">
      <w:pPr>
        <w:snapToGrid w:val="0"/>
        <w:spacing w:line="620" w:lineRule="exact"/>
        <w:rPr>
          <w:rFonts w:ascii="仿宋" w:eastAsia="仿宋" w:hAnsi="仿宋" w:cs="Times New Roman"/>
          <w:sz w:val="28"/>
          <w:szCs w:val="24"/>
        </w:rPr>
      </w:pPr>
      <w:r w:rsidRPr="00AD1CED">
        <w:rPr>
          <w:rFonts w:ascii="仿宋" w:eastAsia="仿宋" w:hAnsi="仿宋" w:cs="Times New Roman" w:hint="eastAsia"/>
          <w:sz w:val="28"/>
          <w:szCs w:val="24"/>
        </w:rPr>
        <w:t>中国证券监督管理委员会：</w:t>
      </w:r>
    </w:p>
    <w:p w:rsidR="00E07F70" w:rsidRPr="00AD1CED" w:rsidRDefault="00E07F70" w:rsidP="00604924">
      <w:pPr>
        <w:snapToGrid w:val="0"/>
        <w:spacing w:line="620" w:lineRule="exact"/>
        <w:ind w:firstLineChars="200" w:firstLine="560"/>
        <w:rPr>
          <w:rFonts w:ascii="仿宋" w:eastAsia="仿宋" w:hAnsi="仿宋" w:cs="Times New Roman"/>
          <w:sz w:val="28"/>
          <w:szCs w:val="28"/>
        </w:rPr>
      </w:pPr>
      <w:r w:rsidRPr="00AD1CED">
        <w:rPr>
          <w:rFonts w:ascii="仿宋" w:eastAsia="仿宋" w:hAnsi="仿宋" w:cs="Times New Roman" w:hint="eastAsia"/>
          <w:sz w:val="28"/>
          <w:szCs w:val="28"/>
        </w:rPr>
        <w:t>南方基金管理</w:t>
      </w:r>
      <w:r w:rsidR="00436968" w:rsidRPr="00AD1CED">
        <w:rPr>
          <w:rFonts w:ascii="仿宋" w:eastAsia="仿宋" w:hAnsi="仿宋" w:cs="Times New Roman" w:hint="eastAsia"/>
          <w:sz w:val="28"/>
          <w:szCs w:val="28"/>
        </w:rPr>
        <w:t>股份</w:t>
      </w:r>
      <w:r w:rsidRPr="00AD1CED">
        <w:rPr>
          <w:rFonts w:ascii="仿宋" w:eastAsia="仿宋" w:hAnsi="仿宋" w:cs="Times New Roman" w:hint="eastAsia"/>
          <w:sz w:val="28"/>
          <w:szCs w:val="28"/>
        </w:rPr>
        <w:t>有限公司（</w:t>
      </w:r>
      <w:r w:rsidR="00C5018B" w:rsidRPr="00AD1CED">
        <w:rPr>
          <w:rFonts w:ascii="仿宋" w:eastAsia="仿宋" w:hAnsi="仿宋" w:cs="Times New Roman" w:hint="eastAsia"/>
          <w:sz w:val="28"/>
          <w:szCs w:val="28"/>
        </w:rPr>
        <w:t>以下</w:t>
      </w:r>
      <w:r w:rsidRPr="00AD1CED">
        <w:rPr>
          <w:rFonts w:ascii="仿宋" w:eastAsia="仿宋" w:hAnsi="仿宋" w:cs="Times New Roman" w:hint="eastAsia"/>
          <w:sz w:val="28"/>
          <w:szCs w:val="28"/>
        </w:rPr>
        <w:t>简称“本公司”）拟向贵会申请募集</w:t>
      </w:r>
      <w:r w:rsidR="00F16AAA">
        <w:rPr>
          <w:rFonts w:ascii="仿宋" w:eastAsia="仿宋" w:hAnsi="仿宋" w:cs="Times New Roman" w:hint="eastAsia"/>
          <w:sz w:val="28"/>
          <w:szCs w:val="28"/>
        </w:rPr>
        <w:t>南方</w:t>
      </w:r>
      <w:r w:rsidR="00360816">
        <w:rPr>
          <w:rFonts w:ascii="仿宋" w:eastAsia="仿宋" w:hAnsi="仿宋" w:cs="Times New Roman" w:hint="eastAsia"/>
          <w:sz w:val="28"/>
          <w:szCs w:val="28"/>
        </w:rPr>
        <w:t>{{指数名称}}</w:t>
      </w:r>
      <w:r w:rsidR="00F16AAA">
        <w:rPr>
          <w:rFonts w:ascii="仿宋" w:eastAsia="仿宋" w:hAnsi="仿宋" w:cs="Times New Roman" w:hint="eastAsia"/>
          <w:sz w:val="28"/>
          <w:szCs w:val="28"/>
        </w:rPr>
        <w:t>交易型开放式指数证券投资基金</w:t>
      </w:r>
      <w:r w:rsidR="009B3569">
        <w:rPr>
          <w:rFonts w:ascii="仿宋" w:eastAsia="仿宋" w:hAnsi="仿宋" w:cs="Times New Roman" w:hint="eastAsia"/>
          <w:sz w:val="28"/>
          <w:szCs w:val="28"/>
        </w:rPr>
        <w:t>发起式</w:t>
      </w:r>
      <w:r w:rsidR="00F16AAA">
        <w:rPr>
          <w:rFonts w:ascii="仿宋" w:eastAsia="仿宋" w:hAnsi="仿宋" w:cs="Times New Roman" w:hint="eastAsia"/>
          <w:sz w:val="28"/>
          <w:szCs w:val="28"/>
        </w:rPr>
        <w:t>联接基金</w:t>
      </w:r>
      <w:r w:rsidRPr="00AD1CED">
        <w:rPr>
          <w:rFonts w:ascii="仿宋" w:eastAsia="仿宋" w:hAnsi="仿宋" w:cs="Times New Roman" w:hint="eastAsia"/>
          <w:sz w:val="28"/>
          <w:szCs w:val="28"/>
        </w:rPr>
        <w:t>（</w:t>
      </w:r>
      <w:r w:rsidR="00C5018B" w:rsidRPr="00AD1CED">
        <w:rPr>
          <w:rFonts w:ascii="仿宋" w:eastAsia="仿宋" w:hAnsi="仿宋" w:cs="Times New Roman" w:hint="eastAsia"/>
          <w:sz w:val="28"/>
          <w:szCs w:val="28"/>
        </w:rPr>
        <w:t>以下</w:t>
      </w:r>
      <w:r w:rsidRPr="00AD1CED">
        <w:rPr>
          <w:rFonts w:ascii="仿宋" w:eastAsia="仿宋" w:hAnsi="仿宋" w:cs="Times New Roman" w:hint="eastAsia"/>
          <w:sz w:val="28"/>
          <w:szCs w:val="28"/>
        </w:rPr>
        <w:t>简称“本基金”）。根据</w:t>
      </w:r>
      <w:r w:rsidR="00C5018B" w:rsidRPr="00AD1CED">
        <w:rPr>
          <w:rFonts w:ascii="仿宋" w:eastAsia="仿宋" w:hAnsi="仿宋" w:cs="Times New Roman" w:hint="eastAsia"/>
          <w:sz w:val="28"/>
          <w:szCs w:val="28"/>
        </w:rPr>
        <w:t>相关要求</w:t>
      </w:r>
      <w:r w:rsidRPr="00AD1CED">
        <w:rPr>
          <w:rFonts w:ascii="仿宋" w:eastAsia="仿宋" w:hAnsi="仿宋" w:cs="Times New Roman" w:hint="eastAsia"/>
          <w:sz w:val="28"/>
          <w:szCs w:val="28"/>
        </w:rPr>
        <w:t>，本公司对</w:t>
      </w:r>
      <w:r w:rsidR="00C5018B" w:rsidRPr="00AD1CED">
        <w:rPr>
          <w:rFonts w:ascii="仿宋" w:eastAsia="仿宋" w:hAnsi="仿宋" w:cs="Times New Roman" w:hint="eastAsia"/>
          <w:sz w:val="28"/>
          <w:szCs w:val="28"/>
        </w:rPr>
        <w:t>本基金的流动性风险进行了认真评估，</w:t>
      </w:r>
      <w:r w:rsidR="00E33A2E" w:rsidRPr="00AD1CED">
        <w:rPr>
          <w:rFonts w:ascii="仿宋" w:eastAsia="仿宋" w:hAnsi="仿宋" w:hint="eastAsia"/>
          <w:sz w:val="28"/>
          <w:szCs w:val="28"/>
        </w:rPr>
        <w:t>现将有关情况报告如下：</w:t>
      </w:r>
    </w:p>
    <w:p w:rsidR="001F18D7" w:rsidRPr="00AD1CED" w:rsidRDefault="001F18D7"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一、本基金的运作方式</w:t>
      </w:r>
    </w:p>
    <w:p w:rsidR="001F18D7" w:rsidRPr="00AD1CED" w:rsidRDefault="001F18D7" w:rsidP="00604924">
      <w:pPr>
        <w:snapToGrid w:val="0"/>
        <w:spacing w:line="620" w:lineRule="exact"/>
        <w:ind w:firstLineChars="200" w:firstLine="560"/>
        <w:rPr>
          <w:rFonts w:ascii="仿宋" w:eastAsia="仿宋" w:hAnsi="仿宋"/>
          <w:sz w:val="28"/>
          <w:szCs w:val="28"/>
        </w:rPr>
      </w:pPr>
      <w:r w:rsidRPr="00AD1CED">
        <w:rPr>
          <w:rFonts w:ascii="仿宋" w:eastAsia="仿宋" w:hAnsi="仿宋" w:hint="eastAsia"/>
          <w:sz w:val="28"/>
          <w:szCs w:val="28"/>
        </w:rPr>
        <w:t>本基金为</w:t>
      </w:r>
      <w:r w:rsidR="004F16CE" w:rsidRPr="004F16CE">
        <w:rPr>
          <w:rFonts w:ascii="仿宋" w:eastAsia="仿宋" w:hAnsi="仿宋" w:hint="eastAsia"/>
          <w:sz w:val="28"/>
          <w:szCs w:val="28"/>
        </w:rPr>
        <w:t>交易型开放式指数基金联接基金</w:t>
      </w:r>
      <w:r w:rsidRPr="00AD1CED">
        <w:rPr>
          <w:rFonts w:ascii="仿宋" w:eastAsia="仿宋" w:hAnsi="仿宋" w:hint="eastAsia"/>
          <w:sz w:val="28"/>
          <w:szCs w:val="28"/>
        </w:rPr>
        <w:t>，</w:t>
      </w:r>
      <w:r w:rsidR="00FB5DDB" w:rsidRPr="00FB5DDB">
        <w:rPr>
          <w:rFonts w:ascii="仿宋" w:eastAsia="仿宋" w:hAnsi="仿宋" w:cs="Times New Roman" w:hint="eastAsia"/>
          <w:sz w:val="28"/>
          <w:szCs w:val="28"/>
        </w:rPr>
        <w:t>基金管理人在开放日办理基金份额的申购和赎回，具体办理时间为</w:t>
      </w:r>
      <w:r w:rsidR="00360816">
        <w:rPr>
          <w:rFonts w:ascii="仿宋" w:eastAsia="仿宋" w:hAnsi="仿宋" w:cs="Times New Roman" w:hint="eastAsia"/>
          <w:sz w:val="28"/>
          <w:szCs w:val="28"/>
        </w:rPr>
        <w:t>{{开放时间</w:t>
      </w:r>
      <w:bookmarkStart w:id="0" w:name="_GoBack"/>
      <w:bookmarkEnd w:id="0"/>
      <w:r w:rsidR="00360816">
        <w:rPr>
          <w:rFonts w:ascii="仿宋" w:eastAsia="仿宋" w:hAnsi="仿宋" w:cs="Times New Roman" w:hint="eastAsia"/>
          <w:sz w:val="28"/>
          <w:szCs w:val="28"/>
        </w:rPr>
        <w:t>}}</w:t>
      </w:r>
      <w:r w:rsidR="00FB5DDB" w:rsidRPr="00FB5DDB">
        <w:rPr>
          <w:rFonts w:ascii="仿宋" w:eastAsia="仿宋" w:hAnsi="仿宋" w:cs="Times New Roman" w:hint="eastAsia"/>
          <w:sz w:val="28"/>
          <w:szCs w:val="28"/>
        </w:rPr>
        <w:t>的正常交易日的交易时间（基金销售机构另有规定的，可在上述范围内规定具体的交易时间），但基金管理人根据法律法规、中国证监会的要求或基金合同的规定公告暂停申购、赎回时除外</w:t>
      </w:r>
      <w:r w:rsidR="00FB5DDB">
        <w:rPr>
          <w:rFonts w:ascii="仿宋" w:eastAsia="仿宋" w:hAnsi="仿宋" w:cs="Times New Roman" w:hint="eastAsia"/>
          <w:sz w:val="28"/>
          <w:szCs w:val="28"/>
        </w:rPr>
        <w:t>。</w:t>
      </w:r>
    </w:p>
    <w:p w:rsidR="00C5018B" w:rsidRPr="00AD1CED" w:rsidRDefault="001F18D7"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二</w:t>
      </w:r>
      <w:r w:rsidR="00025D7F" w:rsidRPr="00AD1CED">
        <w:rPr>
          <w:rFonts w:ascii="仿宋" w:eastAsia="仿宋" w:hAnsi="仿宋" w:cs="Times New Roman" w:hint="eastAsia"/>
          <w:b/>
          <w:sz w:val="28"/>
          <w:szCs w:val="24"/>
        </w:rPr>
        <w:t>、本基金</w:t>
      </w:r>
      <w:r w:rsidR="00905311" w:rsidRPr="00AD1CED">
        <w:rPr>
          <w:rFonts w:ascii="仿宋" w:eastAsia="仿宋" w:hAnsi="仿宋" w:cs="Times New Roman" w:hint="eastAsia"/>
          <w:b/>
          <w:sz w:val="28"/>
          <w:szCs w:val="24"/>
        </w:rPr>
        <w:t>投资标的流动性</w:t>
      </w:r>
    </w:p>
    <w:p w:rsidR="006501D8" w:rsidRPr="00AD1CED" w:rsidRDefault="00183F2D" w:rsidP="00604924">
      <w:pPr>
        <w:snapToGrid w:val="0"/>
        <w:spacing w:line="620" w:lineRule="exact"/>
        <w:ind w:firstLineChars="200" w:firstLine="560"/>
        <w:rPr>
          <w:rFonts w:ascii="仿宋" w:eastAsia="仿宋" w:hAnsi="仿宋" w:cs="宋体"/>
          <w:color w:val="000000"/>
          <w:kern w:val="0"/>
          <w:sz w:val="28"/>
          <w:szCs w:val="28"/>
        </w:rPr>
      </w:pPr>
      <w:r w:rsidRPr="00AD1CED">
        <w:rPr>
          <w:rFonts w:ascii="仿宋" w:eastAsia="仿宋" w:hAnsi="仿宋" w:hint="eastAsia"/>
          <w:sz w:val="28"/>
          <w:szCs w:val="28"/>
        </w:rPr>
        <w:lastRenderedPageBreak/>
        <w:t>本基金</w:t>
      </w:r>
      <w:r w:rsidR="00A210A6" w:rsidRPr="00AD1CED">
        <w:rPr>
          <w:rFonts w:ascii="仿宋" w:eastAsia="仿宋" w:hAnsi="仿宋" w:hint="eastAsia"/>
          <w:sz w:val="28"/>
          <w:szCs w:val="28"/>
        </w:rPr>
        <w:t>通过投资于目标ETF，紧密跟踪标的指数，追求与业绩比较基准相似的回报。</w:t>
      </w:r>
      <w:r w:rsidR="00421A5C" w:rsidRPr="00AD1CED">
        <w:rPr>
          <w:rFonts w:ascii="仿宋" w:eastAsia="仿宋" w:hAnsi="仿宋" w:hint="eastAsia"/>
          <w:sz w:val="28"/>
          <w:szCs w:val="28"/>
        </w:rPr>
        <w:t>本基金的目标E</w:t>
      </w:r>
      <w:r w:rsidR="00421A5C" w:rsidRPr="00AD1CED">
        <w:rPr>
          <w:rFonts w:ascii="仿宋" w:eastAsia="仿宋" w:hAnsi="仿宋"/>
          <w:sz w:val="28"/>
          <w:szCs w:val="28"/>
        </w:rPr>
        <w:t>TF</w:t>
      </w:r>
      <w:r w:rsidR="00421A5C" w:rsidRPr="00AD1CED">
        <w:rPr>
          <w:rFonts w:ascii="仿宋" w:eastAsia="仿宋" w:hAnsi="仿宋" w:hint="eastAsia"/>
          <w:sz w:val="28"/>
          <w:szCs w:val="28"/>
        </w:rPr>
        <w:t>为</w:t>
      </w:r>
      <w:r w:rsidR="002D393D">
        <w:rPr>
          <w:rFonts w:ascii="仿宋" w:eastAsia="仿宋" w:hAnsi="仿宋" w:cs="Times New Roman" w:hint="eastAsia"/>
          <w:sz w:val="28"/>
          <w:szCs w:val="28"/>
        </w:rPr>
        <w:t>南方</w:t>
      </w:r>
      <w:r w:rsidR="00360816">
        <w:rPr>
          <w:rFonts w:ascii="仿宋" w:eastAsia="仿宋" w:hAnsi="仿宋" w:cs="Times New Roman" w:hint="eastAsia"/>
          <w:sz w:val="28"/>
          <w:szCs w:val="28"/>
        </w:rPr>
        <w:t>{{指数名称}}</w:t>
      </w:r>
      <w:r w:rsidR="002D393D">
        <w:rPr>
          <w:rFonts w:ascii="仿宋" w:eastAsia="仿宋" w:hAnsi="仿宋" w:cs="Times New Roman" w:hint="eastAsia"/>
          <w:sz w:val="28"/>
          <w:szCs w:val="28"/>
        </w:rPr>
        <w:t>交易型开放式指数证券投资基金</w:t>
      </w:r>
      <w:r w:rsidR="00421A5C" w:rsidRPr="00AD1CED">
        <w:rPr>
          <w:rFonts w:ascii="仿宋" w:eastAsia="仿宋" w:hAnsi="仿宋" w:cs="Times New Roman" w:hint="eastAsia"/>
          <w:sz w:val="28"/>
          <w:szCs w:val="28"/>
        </w:rPr>
        <w:t>，标的指数为</w:t>
      </w:r>
      <w:r w:rsidR="00360816">
        <w:rPr>
          <w:rFonts w:ascii="仿宋" w:eastAsia="仿宋" w:hAnsi="仿宋" w:cs="Times New Roman" w:hint="eastAsia"/>
          <w:sz w:val="28"/>
          <w:szCs w:val="28"/>
        </w:rPr>
        <w:t>{{指数名称}}</w:t>
      </w:r>
      <w:r w:rsidR="002D393D">
        <w:rPr>
          <w:rFonts w:ascii="仿宋" w:eastAsia="仿宋" w:hAnsi="仿宋" w:cs="Times New Roman" w:hint="eastAsia"/>
          <w:sz w:val="28"/>
          <w:szCs w:val="28"/>
        </w:rPr>
        <w:t>指数</w:t>
      </w:r>
      <w:r w:rsidR="00CE1666" w:rsidRPr="00AD1CED">
        <w:rPr>
          <w:rFonts w:ascii="仿宋" w:eastAsia="仿宋" w:hAnsi="仿宋" w:cs="Times New Roman" w:hint="eastAsia"/>
          <w:sz w:val="28"/>
          <w:szCs w:val="28"/>
        </w:rPr>
        <w:t>，</w:t>
      </w:r>
      <w:r w:rsidR="00016EC9" w:rsidRPr="00AD1CED">
        <w:rPr>
          <w:rFonts w:ascii="仿宋" w:eastAsia="仿宋" w:hAnsi="仿宋" w:cs="Times New Roman" w:hint="eastAsia"/>
          <w:sz w:val="28"/>
          <w:szCs w:val="28"/>
        </w:rPr>
        <w:t>本基金</w:t>
      </w:r>
      <w:r w:rsidR="00CE1666" w:rsidRPr="00AD1CED">
        <w:rPr>
          <w:rFonts w:ascii="仿宋" w:eastAsia="仿宋" w:hAnsi="仿宋" w:cs="Times New Roman" w:hint="eastAsia"/>
          <w:sz w:val="28"/>
          <w:szCs w:val="28"/>
        </w:rPr>
        <w:t>投资于目标ETF的资产比例不低于基金资产净值的90%。</w:t>
      </w:r>
      <w:r w:rsidR="00421A5C" w:rsidRPr="00AD1CED">
        <w:rPr>
          <w:rFonts w:ascii="仿宋" w:eastAsia="仿宋" w:hAnsi="仿宋" w:cs="Times New Roman" w:hint="eastAsia"/>
          <w:sz w:val="28"/>
          <w:szCs w:val="28"/>
        </w:rPr>
        <w:t>目标</w:t>
      </w:r>
      <w:r w:rsidR="00421A5C" w:rsidRPr="00AD1CED">
        <w:rPr>
          <w:rFonts w:ascii="仿宋" w:eastAsia="仿宋" w:hAnsi="仿宋" w:cs="Times New Roman"/>
          <w:sz w:val="28"/>
          <w:szCs w:val="28"/>
        </w:rPr>
        <w:t>ETF</w:t>
      </w:r>
      <w:r w:rsidR="00421A5C" w:rsidRPr="00AD1CED">
        <w:rPr>
          <w:rFonts w:ascii="仿宋" w:eastAsia="仿宋" w:hAnsi="仿宋" w:cs="Times New Roman" w:hint="eastAsia"/>
          <w:sz w:val="28"/>
          <w:szCs w:val="28"/>
        </w:rPr>
        <w:t>及</w:t>
      </w:r>
      <w:r w:rsidR="00E15995" w:rsidRPr="00AD1CED">
        <w:rPr>
          <w:rFonts w:ascii="仿宋" w:eastAsia="仿宋" w:hAnsi="仿宋" w:hint="eastAsia"/>
          <w:sz w:val="28"/>
          <w:szCs w:val="28"/>
        </w:rPr>
        <w:t>本基金</w:t>
      </w:r>
      <w:r w:rsidRPr="00AD1CED">
        <w:rPr>
          <w:rFonts w:ascii="仿宋" w:eastAsia="仿宋" w:hAnsi="仿宋" w:hint="eastAsia"/>
          <w:sz w:val="28"/>
          <w:szCs w:val="28"/>
        </w:rPr>
        <w:t>的投资标的均在</w:t>
      </w:r>
      <w:r w:rsidR="00FB5DDB">
        <w:rPr>
          <w:rFonts w:ascii="仿宋" w:eastAsia="仿宋" w:hAnsi="仿宋" w:hint="eastAsia"/>
          <w:sz w:val="28"/>
          <w:szCs w:val="28"/>
        </w:rPr>
        <w:t>中国</w:t>
      </w:r>
      <w:r w:rsidRPr="00AD1CED">
        <w:rPr>
          <w:rFonts w:ascii="仿宋" w:eastAsia="仿宋" w:hAnsi="仿宋" w:hint="eastAsia"/>
          <w:sz w:val="28"/>
          <w:szCs w:val="28"/>
        </w:rPr>
        <w:t>证监会及相关法律法规规定的合法范围之内，且具有良好的市场流动性。整体来看，</w:t>
      </w:r>
      <w:r w:rsidR="00042CFA">
        <w:rPr>
          <w:rFonts w:ascii="仿宋" w:eastAsia="仿宋" w:hAnsi="仿宋" w:hint="eastAsia"/>
          <w:sz w:val="28"/>
          <w:szCs w:val="28"/>
        </w:rPr>
        <w:t>创业板人工智能</w:t>
      </w:r>
      <w:r w:rsidR="002D393D">
        <w:rPr>
          <w:rFonts w:ascii="仿宋" w:eastAsia="仿宋" w:hAnsi="仿宋" w:hint="eastAsia"/>
          <w:sz w:val="28"/>
          <w:szCs w:val="28"/>
        </w:rPr>
        <w:t>指数</w:t>
      </w:r>
      <w:r w:rsidRPr="00AD1CED">
        <w:rPr>
          <w:rFonts w:ascii="仿宋" w:eastAsia="仿宋" w:hAnsi="仿宋" w:hint="eastAsia"/>
          <w:sz w:val="28"/>
          <w:szCs w:val="28"/>
        </w:rPr>
        <w:t>成交情况较活跃，流动性良好，市场容量较大。因此，本基金投资标的流动性可以匹配基金合同约定的申购赎回安排。</w:t>
      </w:r>
    </w:p>
    <w:p w:rsidR="00642944" w:rsidRPr="00AD1CED" w:rsidRDefault="001F18D7"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三</w:t>
      </w:r>
      <w:r w:rsidR="00642944" w:rsidRPr="00AD1CED">
        <w:rPr>
          <w:rFonts w:ascii="仿宋" w:eastAsia="仿宋" w:hAnsi="仿宋" w:cs="Times New Roman" w:hint="eastAsia"/>
          <w:b/>
          <w:sz w:val="28"/>
          <w:szCs w:val="24"/>
        </w:rPr>
        <w:t>、本基金的投资策略</w:t>
      </w:r>
    </w:p>
    <w:p w:rsidR="001C0F00" w:rsidRPr="00821A50" w:rsidRDefault="001C0F00" w:rsidP="0049672F">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本基金为</w:t>
      </w:r>
      <w:r w:rsidR="00047F43">
        <w:rPr>
          <w:rFonts w:ascii="仿宋" w:eastAsia="仿宋" w:hAnsi="仿宋" w:hint="eastAsia"/>
          <w:sz w:val="28"/>
          <w:szCs w:val="28"/>
        </w:rPr>
        <w:t>完全</w:t>
      </w:r>
      <w:r w:rsidRPr="00821A50">
        <w:rPr>
          <w:rFonts w:ascii="仿宋" w:eastAsia="仿宋" w:hAnsi="仿宋" w:hint="eastAsia"/>
          <w:sz w:val="28"/>
          <w:szCs w:val="28"/>
        </w:rPr>
        <w:t>被动式指数基金，主要投资于目标</w:t>
      </w:r>
      <w:r w:rsidRPr="00821A50">
        <w:rPr>
          <w:rFonts w:ascii="仿宋" w:eastAsia="仿宋" w:hAnsi="仿宋"/>
          <w:sz w:val="28"/>
          <w:szCs w:val="28"/>
        </w:rPr>
        <w:t xml:space="preserve">ETF，通过资产配置策略、目标ETF投资策略及其他适当的策略，实现紧密跟踪标的指数的投资目标。 </w:t>
      </w:r>
    </w:p>
    <w:p w:rsidR="0075220B" w:rsidRPr="00821A50" w:rsidRDefault="0075220B" w:rsidP="0049672F">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本基金可投资股指期货、股票期权和其他经中国证监会允许的衍生金融产品，如与标的指数或标的指数成份股、备选成份</w:t>
      </w:r>
      <w:proofErr w:type="gramStart"/>
      <w:r w:rsidRPr="00821A50">
        <w:rPr>
          <w:rFonts w:ascii="仿宋" w:eastAsia="仿宋" w:hAnsi="仿宋" w:hint="eastAsia"/>
          <w:sz w:val="28"/>
          <w:szCs w:val="28"/>
        </w:rPr>
        <w:t>股相关</w:t>
      </w:r>
      <w:proofErr w:type="gramEnd"/>
      <w:r w:rsidRPr="00821A50">
        <w:rPr>
          <w:rFonts w:ascii="仿宋" w:eastAsia="仿宋" w:hAnsi="仿宋" w:hint="eastAsia"/>
          <w:sz w:val="28"/>
          <w:szCs w:val="28"/>
        </w:rPr>
        <w:t>的衍生工具。本基金将根据风险管理的原则，主要选择流动性好、交易活跃的衍生品合约进行交易。</w:t>
      </w:r>
    </w:p>
    <w:p w:rsidR="001C0F00" w:rsidRPr="00821A50" w:rsidRDefault="0075220B" w:rsidP="0049672F">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本基金投资债券将结合对未来市场利率预期运用</w:t>
      </w:r>
      <w:proofErr w:type="gramStart"/>
      <w:r w:rsidRPr="00821A50">
        <w:rPr>
          <w:rFonts w:ascii="仿宋" w:eastAsia="仿宋" w:hAnsi="仿宋" w:hint="eastAsia"/>
          <w:sz w:val="28"/>
          <w:szCs w:val="28"/>
        </w:rPr>
        <w:t>久期调整</w:t>
      </w:r>
      <w:proofErr w:type="gramEnd"/>
      <w:r w:rsidRPr="00821A50">
        <w:rPr>
          <w:rFonts w:ascii="仿宋" w:eastAsia="仿宋" w:hAnsi="仿宋" w:hint="eastAsia"/>
          <w:sz w:val="28"/>
          <w:szCs w:val="28"/>
        </w:rPr>
        <w:t>策略、收益率曲线配置策略、债券类属配置策略、利差轮动策略等多种积极管理策略，通过严谨的研究发现价值被低估的债券和市场投资机会，构建收益稳定、流动性良好的债券组合。</w:t>
      </w:r>
    </w:p>
    <w:p w:rsidR="0075220B" w:rsidRPr="00821A50" w:rsidRDefault="0075220B" w:rsidP="0049672F">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资产支持证券投资关键在于对基础资产质量及未来现金流的分析，本基金将采用基本面分析和数量化模型相结合，对个</w:t>
      </w:r>
      <w:proofErr w:type="gramStart"/>
      <w:r w:rsidRPr="00821A50">
        <w:rPr>
          <w:rFonts w:ascii="仿宋" w:eastAsia="仿宋" w:hAnsi="仿宋" w:hint="eastAsia"/>
          <w:sz w:val="28"/>
          <w:szCs w:val="28"/>
        </w:rPr>
        <w:t>券</w:t>
      </w:r>
      <w:proofErr w:type="gramEnd"/>
      <w:r w:rsidRPr="00821A50">
        <w:rPr>
          <w:rFonts w:ascii="仿宋" w:eastAsia="仿宋" w:hAnsi="仿宋" w:hint="eastAsia"/>
          <w:sz w:val="28"/>
          <w:szCs w:val="28"/>
        </w:rPr>
        <w:t>进行风险</w:t>
      </w:r>
      <w:r w:rsidRPr="00821A50">
        <w:rPr>
          <w:rFonts w:ascii="仿宋" w:eastAsia="仿宋" w:hAnsi="仿宋" w:hint="eastAsia"/>
          <w:sz w:val="28"/>
          <w:szCs w:val="28"/>
        </w:rPr>
        <w:lastRenderedPageBreak/>
        <w:t>分析和价值评估后进行投资。本基金将严格控制资产支持证券的总体投资规模并进行分散投资，以降低流动性风险。</w:t>
      </w:r>
    </w:p>
    <w:p w:rsidR="0075220B" w:rsidRPr="00821A50" w:rsidRDefault="0075220B" w:rsidP="00604924">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为更好地实现投资目标，在加强风险防范并遵守审慎原则的前提下，本基金可根据投资管理的需要参与融资及转融通证券出借业务。本基金将在分析市场情况、投资者类型与结构、基金</w:t>
      </w:r>
      <w:proofErr w:type="gramStart"/>
      <w:r w:rsidRPr="00821A50">
        <w:rPr>
          <w:rFonts w:ascii="仿宋" w:eastAsia="仿宋" w:hAnsi="仿宋" w:hint="eastAsia"/>
          <w:sz w:val="28"/>
          <w:szCs w:val="28"/>
        </w:rPr>
        <w:t>历史申赎情况</w:t>
      </w:r>
      <w:proofErr w:type="gramEnd"/>
      <w:r w:rsidRPr="00821A50">
        <w:rPr>
          <w:rFonts w:ascii="仿宋" w:eastAsia="仿宋" w:hAnsi="仿宋" w:hint="eastAsia"/>
          <w:sz w:val="28"/>
          <w:szCs w:val="28"/>
        </w:rPr>
        <w:t>、出借证券流动性情况等因素的基础上</w:t>
      </w:r>
      <w:r w:rsidR="00F36602" w:rsidRPr="00821A50">
        <w:rPr>
          <w:rFonts w:ascii="仿宋" w:eastAsia="仿宋" w:hAnsi="仿宋" w:hint="eastAsia"/>
          <w:sz w:val="28"/>
          <w:szCs w:val="28"/>
        </w:rPr>
        <w:t>，</w:t>
      </w:r>
      <w:r w:rsidRPr="00821A50">
        <w:rPr>
          <w:rFonts w:ascii="仿宋" w:eastAsia="仿宋" w:hAnsi="仿宋" w:hint="eastAsia"/>
          <w:sz w:val="28"/>
          <w:szCs w:val="28"/>
        </w:rPr>
        <w:t>合理确定出借证券的范围、期限和比例。</w:t>
      </w:r>
    </w:p>
    <w:p w:rsidR="00642944" w:rsidRPr="00821A50" w:rsidRDefault="0075220B" w:rsidP="00604924">
      <w:pPr>
        <w:snapToGrid w:val="0"/>
        <w:spacing w:line="620" w:lineRule="exact"/>
        <w:ind w:firstLineChars="200" w:firstLine="560"/>
        <w:rPr>
          <w:rFonts w:ascii="仿宋" w:eastAsia="仿宋" w:hAnsi="仿宋"/>
          <w:sz w:val="28"/>
          <w:szCs w:val="28"/>
        </w:rPr>
      </w:pPr>
      <w:r w:rsidRPr="00821A50">
        <w:rPr>
          <w:rFonts w:ascii="仿宋" w:eastAsia="仿宋" w:hAnsi="仿宋" w:hint="eastAsia"/>
          <w:sz w:val="28"/>
          <w:szCs w:val="28"/>
        </w:rPr>
        <w:t>本基金在综合考虑预期收益、风险、流动性等因素的基础上，根据审慎原则合理参与存托凭证的投资，以更好地跟踪标的指数，追求与业绩比较基准相似的回报。</w:t>
      </w:r>
    </w:p>
    <w:p w:rsidR="002E244A" w:rsidRPr="00AD1CED" w:rsidRDefault="001F18D7"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四</w:t>
      </w:r>
      <w:r w:rsidR="002E244A" w:rsidRPr="00AD1CED">
        <w:rPr>
          <w:rFonts w:ascii="仿宋" w:eastAsia="仿宋" w:hAnsi="仿宋" w:cs="Times New Roman" w:hint="eastAsia"/>
          <w:b/>
          <w:sz w:val="28"/>
          <w:szCs w:val="24"/>
        </w:rPr>
        <w:t>、本基金的投资限制</w:t>
      </w:r>
    </w:p>
    <w:p w:rsidR="008E1656" w:rsidRPr="0049672F" w:rsidRDefault="00687AC4" w:rsidP="0049672F">
      <w:pPr>
        <w:snapToGrid w:val="0"/>
        <w:spacing w:line="620" w:lineRule="exact"/>
        <w:ind w:firstLineChars="200" w:firstLine="560"/>
        <w:rPr>
          <w:rFonts w:ascii="仿宋" w:eastAsia="仿宋" w:hAnsi="仿宋"/>
          <w:sz w:val="28"/>
          <w:szCs w:val="28"/>
        </w:rPr>
      </w:pPr>
      <w:r w:rsidRPr="0049672F">
        <w:rPr>
          <w:rFonts w:ascii="仿宋" w:eastAsia="仿宋" w:hAnsi="仿宋" w:hint="eastAsia"/>
          <w:sz w:val="28"/>
          <w:szCs w:val="28"/>
        </w:rPr>
        <w:t>本基金投资于目标ETF的比例不低于基金资产净值的90%。每个交易日日终在扣除</w:t>
      </w:r>
      <w:r w:rsidR="00562D99" w:rsidRPr="0049672F">
        <w:rPr>
          <w:rFonts w:ascii="仿宋" w:eastAsia="仿宋" w:hAnsi="仿宋" w:hint="eastAsia"/>
          <w:sz w:val="28"/>
          <w:szCs w:val="28"/>
        </w:rPr>
        <w:t>金融衍生品</w:t>
      </w:r>
      <w:r w:rsidRPr="0049672F">
        <w:rPr>
          <w:rFonts w:ascii="仿宋" w:eastAsia="仿宋" w:hAnsi="仿宋" w:hint="eastAsia"/>
          <w:sz w:val="28"/>
          <w:szCs w:val="28"/>
        </w:rPr>
        <w:t>合约需缴纳的交易保证金后，现金或到期日在一年以内的政府债券的投资比例不低于基金资产净值的5%，其中现金不包括结算备付金、存出保证金、应收申购款等。</w:t>
      </w:r>
    </w:p>
    <w:p w:rsidR="00380CD5" w:rsidRPr="00AD1CED" w:rsidRDefault="00380CD5" w:rsidP="00604924">
      <w:pPr>
        <w:snapToGrid w:val="0"/>
        <w:spacing w:line="620" w:lineRule="exact"/>
        <w:ind w:firstLineChars="200" w:firstLine="560"/>
        <w:rPr>
          <w:rFonts w:ascii="仿宋" w:eastAsia="仿宋" w:hAnsi="仿宋" w:cs="Times New Roman"/>
          <w:bCs/>
          <w:sz w:val="28"/>
          <w:szCs w:val="28"/>
        </w:rPr>
      </w:pPr>
      <w:r w:rsidRPr="00AD1CED">
        <w:rPr>
          <w:rFonts w:ascii="仿宋" w:eastAsia="仿宋" w:hAnsi="仿宋" w:cs="Times New Roman" w:hint="eastAsia"/>
          <w:bCs/>
          <w:sz w:val="28"/>
          <w:szCs w:val="28"/>
        </w:rPr>
        <w:t>同时，本基金投资于同一原始权益人的各类资产支持证券的比例，不得超过基金资产净值的10%；本基金应投资于信用级别评级为BBB以上(含BBB)的资产支持证券。基金持有资产支持证券期间，如果其信用等级下降、不再符合投资标准，应在评级报告发布之日起3个月内予以全部卖出；本基金持有的同一(指同一信用级别)资产支持证券的比例，不得超过该资产支持证券规模的10%；本基金管理人管理的全部基金投资于同一原始权益人的各类资产支持证券，不得超过其各</w:t>
      </w:r>
      <w:r w:rsidRPr="00AD1CED">
        <w:rPr>
          <w:rFonts w:ascii="仿宋" w:eastAsia="仿宋" w:hAnsi="仿宋" w:cs="Times New Roman" w:hint="eastAsia"/>
          <w:bCs/>
          <w:sz w:val="28"/>
          <w:szCs w:val="28"/>
        </w:rPr>
        <w:lastRenderedPageBreak/>
        <w:t>类资产支持证券合计规模的10%。</w:t>
      </w:r>
    </w:p>
    <w:p w:rsidR="00CE7CF2" w:rsidRDefault="008E1656" w:rsidP="00604924">
      <w:pPr>
        <w:snapToGrid w:val="0"/>
        <w:spacing w:line="620" w:lineRule="exact"/>
        <w:ind w:firstLineChars="200" w:firstLine="560"/>
        <w:rPr>
          <w:rFonts w:ascii="仿宋" w:eastAsia="仿宋" w:hAnsi="仿宋" w:cs="Times New Roman"/>
          <w:bCs/>
          <w:sz w:val="28"/>
          <w:szCs w:val="28"/>
        </w:rPr>
      </w:pPr>
      <w:r w:rsidRPr="00AD1CED">
        <w:rPr>
          <w:rFonts w:ascii="仿宋" w:eastAsia="仿宋" w:hAnsi="仿宋" w:cs="Times New Roman" w:hint="eastAsia"/>
          <w:bCs/>
          <w:sz w:val="28"/>
          <w:szCs w:val="28"/>
        </w:rPr>
        <w:t>此外，根据《公开募集开放式证券投资基金流动性风险管理规定》，本基金主动投资于流动性受限资产的市值合计不得超过基金资产净值的15%。其他投资品种将根据</w:t>
      </w:r>
      <w:r w:rsidR="00F36602" w:rsidRPr="00F36602">
        <w:rPr>
          <w:rFonts w:ascii="仿宋" w:eastAsia="仿宋" w:hAnsi="仿宋" w:cs="Times New Roman" w:hint="eastAsia"/>
          <w:bCs/>
          <w:sz w:val="28"/>
          <w:szCs w:val="28"/>
        </w:rPr>
        <w:t>中国</w:t>
      </w:r>
      <w:r w:rsidRPr="00AD1CED">
        <w:rPr>
          <w:rFonts w:ascii="仿宋" w:eastAsia="仿宋" w:hAnsi="仿宋" w:cs="Times New Roman" w:hint="eastAsia"/>
          <w:bCs/>
          <w:sz w:val="28"/>
          <w:szCs w:val="28"/>
        </w:rPr>
        <w:t>证监会及相关法律法规规定设定投资组合限制。</w:t>
      </w:r>
    </w:p>
    <w:p w:rsidR="008E1656" w:rsidRPr="00AD1CED" w:rsidRDefault="00CE1666" w:rsidP="00604924">
      <w:pPr>
        <w:snapToGrid w:val="0"/>
        <w:spacing w:line="620" w:lineRule="exact"/>
        <w:ind w:firstLineChars="200" w:firstLine="560"/>
        <w:rPr>
          <w:rFonts w:ascii="仿宋" w:eastAsia="仿宋" w:hAnsi="仿宋" w:cs="Times New Roman"/>
          <w:bCs/>
          <w:sz w:val="28"/>
          <w:szCs w:val="28"/>
        </w:rPr>
      </w:pPr>
      <w:r w:rsidRPr="00AD1CED">
        <w:rPr>
          <w:rFonts w:ascii="仿宋" w:eastAsia="仿宋" w:hAnsi="仿宋" w:cs="Times New Roman" w:hint="eastAsia"/>
          <w:bCs/>
          <w:sz w:val="28"/>
          <w:szCs w:val="24"/>
        </w:rPr>
        <w:t>同时</w:t>
      </w:r>
      <w:r w:rsidR="00016EC9" w:rsidRPr="00AD1CED">
        <w:rPr>
          <w:rFonts w:ascii="仿宋" w:eastAsia="仿宋" w:hAnsi="仿宋" w:cs="Times New Roman" w:hint="eastAsia"/>
          <w:bCs/>
          <w:sz w:val="28"/>
          <w:szCs w:val="24"/>
        </w:rPr>
        <w:t>，</w:t>
      </w:r>
      <w:r w:rsidRPr="00AD1CED">
        <w:rPr>
          <w:rFonts w:ascii="仿宋" w:eastAsia="仿宋" w:hAnsi="仿宋" w:cs="Times New Roman" w:hint="eastAsia"/>
          <w:bCs/>
          <w:sz w:val="28"/>
          <w:szCs w:val="24"/>
        </w:rPr>
        <w:t>基金管理人将时刻防范可能产生的流动性风险，对流动性风险进行日常监控，保护持有人的利益。</w:t>
      </w:r>
    </w:p>
    <w:p w:rsidR="001F18D7" w:rsidRPr="00AD1CED" w:rsidRDefault="001F18D7"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五、销售渠道、潜在投资者及投资者结构</w:t>
      </w:r>
    </w:p>
    <w:p w:rsidR="001F18D7" w:rsidRPr="00AD1CED" w:rsidRDefault="00CE1666" w:rsidP="00604924">
      <w:pPr>
        <w:snapToGrid w:val="0"/>
        <w:spacing w:line="620" w:lineRule="exact"/>
        <w:ind w:firstLineChars="200" w:firstLine="560"/>
        <w:rPr>
          <w:rFonts w:ascii="仿宋" w:eastAsia="仿宋" w:hAnsi="仿宋" w:cs="Times New Roman"/>
          <w:sz w:val="28"/>
          <w:szCs w:val="24"/>
        </w:rPr>
      </w:pPr>
      <w:r w:rsidRPr="00AD1CED">
        <w:rPr>
          <w:rFonts w:ascii="仿宋" w:eastAsia="仿宋" w:hAnsi="仿宋" w:cs="Times New Roman" w:hint="eastAsia"/>
          <w:bCs/>
          <w:sz w:val="28"/>
          <w:szCs w:val="24"/>
        </w:rPr>
        <w:t>本基金的销售渠道为南方基金直销以及与</w:t>
      </w:r>
      <w:r w:rsidR="00F36602" w:rsidRPr="00F36602">
        <w:rPr>
          <w:rFonts w:ascii="仿宋" w:eastAsia="仿宋" w:hAnsi="仿宋" w:cs="Times New Roman" w:hint="eastAsia"/>
          <w:bCs/>
          <w:sz w:val="28"/>
          <w:szCs w:val="24"/>
        </w:rPr>
        <w:t>本公司</w:t>
      </w:r>
      <w:r w:rsidRPr="00AD1CED">
        <w:rPr>
          <w:rFonts w:ascii="仿宋" w:eastAsia="仿宋" w:hAnsi="仿宋" w:cs="Times New Roman" w:hint="eastAsia"/>
          <w:bCs/>
          <w:sz w:val="28"/>
          <w:szCs w:val="24"/>
        </w:rPr>
        <w:t>建立了基金代销合作关系的商业银行、期货公司、保险机构、证券投资咨询机构、独立基金销售机构等，目前</w:t>
      </w:r>
      <w:r w:rsidR="00F36602" w:rsidRPr="00F36602">
        <w:rPr>
          <w:rFonts w:ascii="仿宋" w:eastAsia="仿宋" w:hAnsi="仿宋" w:cs="Times New Roman" w:hint="eastAsia"/>
          <w:bCs/>
          <w:sz w:val="28"/>
          <w:szCs w:val="24"/>
        </w:rPr>
        <w:t>本公司</w:t>
      </w:r>
      <w:r w:rsidRPr="00AD1CED">
        <w:rPr>
          <w:rFonts w:ascii="仿宋" w:eastAsia="仿宋" w:hAnsi="仿宋" w:cs="Times New Roman" w:hint="eastAsia"/>
          <w:bCs/>
          <w:sz w:val="28"/>
          <w:szCs w:val="24"/>
        </w:rPr>
        <w:t>已建立代销合作关系的渠道超过250家，</w:t>
      </w:r>
      <w:proofErr w:type="gramStart"/>
      <w:r w:rsidRPr="00AD1CED">
        <w:rPr>
          <w:rFonts w:ascii="仿宋" w:eastAsia="仿宋" w:hAnsi="仿宋" w:cs="Times New Roman" w:hint="eastAsia"/>
          <w:bCs/>
          <w:sz w:val="28"/>
          <w:szCs w:val="24"/>
        </w:rPr>
        <w:t>可较大</w:t>
      </w:r>
      <w:proofErr w:type="gramEnd"/>
      <w:r w:rsidRPr="00AD1CED">
        <w:rPr>
          <w:rFonts w:ascii="仿宋" w:eastAsia="仿宋" w:hAnsi="仿宋" w:cs="Times New Roman" w:hint="eastAsia"/>
          <w:bCs/>
          <w:sz w:val="28"/>
          <w:szCs w:val="24"/>
        </w:rPr>
        <w:t>范围的满足投资者的投资需求。</w:t>
      </w:r>
    </w:p>
    <w:p w:rsidR="001F18D7" w:rsidRPr="00AD1CED" w:rsidRDefault="00CC7BB9" w:rsidP="00604924">
      <w:pPr>
        <w:snapToGrid w:val="0"/>
        <w:spacing w:line="620" w:lineRule="exact"/>
        <w:ind w:firstLineChars="200" w:firstLine="560"/>
        <w:rPr>
          <w:rFonts w:ascii="仿宋" w:eastAsia="仿宋" w:hAnsi="仿宋" w:cs="Times New Roman"/>
          <w:sz w:val="28"/>
          <w:szCs w:val="24"/>
        </w:rPr>
      </w:pPr>
      <w:r w:rsidRPr="00AD1CED">
        <w:rPr>
          <w:rFonts w:ascii="仿宋" w:eastAsia="仿宋" w:hAnsi="仿宋" w:hint="eastAsia"/>
          <w:bCs/>
          <w:sz w:val="28"/>
          <w:szCs w:val="24"/>
        </w:rPr>
        <w:t>本基金的目标客户主要为风险</w:t>
      </w:r>
      <w:r w:rsidRPr="00AD1CED">
        <w:rPr>
          <w:rFonts w:ascii="仿宋" w:eastAsia="仿宋" w:hAnsi="仿宋"/>
          <w:bCs/>
          <w:sz w:val="28"/>
          <w:szCs w:val="24"/>
        </w:rPr>
        <w:t>/</w:t>
      </w:r>
      <w:r w:rsidRPr="00AD1CED">
        <w:rPr>
          <w:rFonts w:ascii="仿宋" w:eastAsia="仿宋" w:hAnsi="仿宋" w:hint="eastAsia"/>
          <w:bCs/>
          <w:sz w:val="28"/>
          <w:szCs w:val="24"/>
        </w:rPr>
        <w:t>收益偏好偏向于</w:t>
      </w:r>
      <w:r w:rsidR="008E1656" w:rsidRPr="00AD1CED">
        <w:rPr>
          <w:rFonts w:ascii="仿宋" w:eastAsia="仿宋" w:hAnsi="仿宋" w:hint="eastAsia"/>
          <w:bCs/>
          <w:sz w:val="28"/>
          <w:szCs w:val="24"/>
        </w:rPr>
        <w:t>股票</w:t>
      </w:r>
      <w:r w:rsidRPr="00AD1CED">
        <w:rPr>
          <w:rFonts w:ascii="仿宋" w:eastAsia="仿宋" w:hAnsi="仿宋" w:hint="eastAsia"/>
          <w:bCs/>
          <w:sz w:val="28"/>
          <w:szCs w:val="24"/>
        </w:rPr>
        <w:t>型基金的机构投资者和个人投资者、拥有长期资金的大型保险公司、财务公司及国有企业、南方基金管理股份有限公司的老客户</w:t>
      </w:r>
      <w:r w:rsidR="0045253C" w:rsidRPr="0045253C">
        <w:rPr>
          <w:rFonts w:ascii="仿宋" w:eastAsia="仿宋" w:hAnsi="仿宋" w:hint="eastAsia"/>
          <w:bCs/>
          <w:sz w:val="28"/>
          <w:szCs w:val="24"/>
        </w:rPr>
        <w:t>以及坚定长期投资和价值投资的投资者</w:t>
      </w:r>
      <w:r w:rsidRPr="00AD1CED">
        <w:rPr>
          <w:rFonts w:ascii="仿宋" w:eastAsia="仿宋" w:hAnsi="仿宋" w:hint="eastAsia"/>
          <w:bCs/>
          <w:sz w:val="28"/>
          <w:szCs w:val="24"/>
        </w:rPr>
        <w:t>。</w:t>
      </w:r>
      <w:r w:rsidRPr="00AD1CED">
        <w:rPr>
          <w:rFonts w:ascii="仿宋" w:eastAsia="仿宋" w:hAnsi="仿宋" w:cs="Times New Roman" w:hint="eastAsia"/>
          <w:sz w:val="28"/>
          <w:szCs w:val="24"/>
        </w:rPr>
        <w:t>本基金在募集销售过程中将严格按照《证券期货投资者适当性管理办法》的相关规定执行，使目标投资者的风险</w:t>
      </w:r>
      <w:r w:rsidR="00F36602" w:rsidRPr="00F36602">
        <w:rPr>
          <w:rFonts w:ascii="仿宋" w:eastAsia="仿宋" w:hAnsi="仿宋" w:cs="Times New Roman" w:hint="eastAsia"/>
          <w:sz w:val="28"/>
          <w:szCs w:val="24"/>
        </w:rPr>
        <w:t>承受</w:t>
      </w:r>
      <w:r w:rsidRPr="00AD1CED">
        <w:rPr>
          <w:rFonts w:ascii="仿宋" w:eastAsia="仿宋" w:hAnsi="仿宋" w:cs="Times New Roman" w:hint="eastAsia"/>
          <w:sz w:val="28"/>
          <w:szCs w:val="24"/>
        </w:rPr>
        <w:t>能力等级与标的产品的风险等级相匹配，在投资者风险承受能力等级低于标的产品</w:t>
      </w:r>
      <w:r w:rsidR="00F36602" w:rsidRPr="00AD1CED">
        <w:rPr>
          <w:rFonts w:ascii="仿宋" w:eastAsia="仿宋" w:hAnsi="仿宋" w:cs="Times New Roman" w:hint="eastAsia"/>
          <w:sz w:val="28"/>
          <w:szCs w:val="24"/>
        </w:rPr>
        <w:t>的</w:t>
      </w:r>
      <w:r w:rsidRPr="00AD1CED">
        <w:rPr>
          <w:rFonts w:ascii="仿宋" w:eastAsia="仿宋" w:hAnsi="仿宋" w:cs="Times New Roman" w:hint="eastAsia"/>
          <w:sz w:val="28"/>
          <w:szCs w:val="24"/>
        </w:rPr>
        <w:t>风险等级时对投资者进行充分警示。</w:t>
      </w:r>
    </w:p>
    <w:p w:rsidR="001F18D7" w:rsidRPr="00AD1CED" w:rsidRDefault="000058D6" w:rsidP="00604924">
      <w:pPr>
        <w:snapToGrid w:val="0"/>
        <w:spacing w:line="620" w:lineRule="exact"/>
        <w:ind w:firstLineChars="200" w:firstLine="560"/>
        <w:rPr>
          <w:rFonts w:ascii="仿宋" w:eastAsia="仿宋" w:hAnsi="仿宋" w:cs="Times New Roman"/>
          <w:sz w:val="28"/>
          <w:szCs w:val="24"/>
        </w:rPr>
      </w:pPr>
      <w:r w:rsidRPr="00AD1CED">
        <w:rPr>
          <w:rFonts w:ascii="仿宋" w:eastAsia="仿宋" w:hAnsi="仿宋" w:cs="Times New Roman" w:hint="eastAsia"/>
          <w:sz w:val="28"/>
          <w:szCs w:val="24"/>
        </w:rPr>
        <w:t>对于报告期内出现单一投资者持有基金份额比例达到或者超过20%的情况，为保障其他投资者的知情权和选择权，基金管理人会在本基金定期报告“影响投资者决策的其他重要信息”项下披露该投资</w:t>
      </w:r>
      <w:r w:rsidRPr="00AD1CED">
        <w:rPr>
          <w:rFonts w:ascii="仿宋" w:eastAsia="仿宋" w:hAnsi="仿宋" w:cs="Times New Roman" w:hint="eastAsia"/>
          <w:sz w:val="28"/>
          <w:szCs w:val="24"/>
        </w:rPr>
        <w:lastRenderedPageBreak/>
        <w:t>者的类别、报告期末持有份额及占比、报告期内持有份额变化情况及</w:t>
      </w:r>
      <w:r w:rsidR="00F36602" w:rsidRPr="00F36602">
        <w:rPr>
          <w:rFonts w:ascii="仿宋" w:eastAsia="仿宋" w:hAnsi="仿宋" w:cs="Times New Roman" w:hint="eastAsia"/>
          <w:sz w:val="28"/>
          <w:szCs w:val="24"/>
        </w:rPr>
        <w:t>本基金</w:t>
      </w:r>
      <w:r w:rsidRPr="00AD1CED">
        <w:rPr>
          <w:rFonts w:ascii="仿宋" w:eastAsia="仿宋" w:hAnsi="仿宋" w:cs="Times New Roman" w:hint="eastAsia"/>
          <w:sz w:val="28"/>
          <w:szCs w:val="24"/>
        </w:rPr>
        <w:t>的特有风险。</w:t>
      </w:r>
    </w:p>
    <w:p w:rsidR="000058D6" w:rsidRPr="00AD1CED" w:rsidRDefault="000058D6" w:rsidP="00604924">
      <w:pPr>
        <w:snapToGrid w:val="0"/>
        <w:spacing w:line="620" w:lineRule="exact"/>
        <w:ind w:firstLineChars="200" w:firstLine="562"/>
        <w:outlineLvl w:val="0"/>
        <w:rPr>
          <w:rFonts w:ascii="仿宋" w:eastAsia="仿宋" w:hAnsi="仿宋" w:cs="Times New Roman"/>
          <w:b/>
          <w:sz w:val="28"/>
          <w:szCs w:val="24"/>
        </w:rPr>
      </w:pPr>
      <w:r w:rsidRPr="00AD1CED">
        <w:rPr>
          <w:rFonts w:ascii="仿宋" w:eastAsia="仿宋" w:hAnsi="仿宋" w:cs="Times New Roman" w:hint="eastAsia"/>
          <w:b/>
          <w:sz w:val="28"/>
          <w:szCs w:val="24"/>
        </w:rPr>
        <w:t>六、基金估值的公平性</w:t>
      </w:r>
    </w:p>
    <w:p w:rsidR="00436968" w:rsidRPr="00AD1CED" w:rsidRDefault="00436968" w:rsidP="00604924">
      <w:pPr>
        <w:snapToGrid w:val="0"/>
        <w:spacing w:line="620" w:lineRule="exact"/>
        <w:ind w:firstLineChars="200" w:firstLine="560"/>
        <w:rPr>
          <w:rFonts w:ascii="仿宋" w:eastAsia="仿宋" w:hAnsi="仿宋"/>
          <w:sz w:val="28"/>
          <w:szCs w:val="28"/>
        </w:rPr>
      </w:pPr>
      <w:r w:rsidRPr="00AD1CED">
        <w:rPr>
          <w:rFonts w:ascii="仿宋" w:eastAsia="仿宋" w:hAnsi="仿宋" w:hint="eastAsia"/>
          <w:sz w:val="28"/>
          <w:szCs w:val="28"/>
        </w:rPr>
        <w:t>本基金的发售对象为符合法律法规规定的可投资于证券投资基金的个人投资者、机构投资者、合格境外投资者以及法律法规或中国证监会允许购买证券投资基金的其他投资人。</w:t>
      </w:r>
    </w:p>
    <w:p w:rsidR="000058D6" w:rsidRPr="00F8278A" w:rsidRDefault="00436968" w:rsidP="00604924">
      <w:pPr>
        <w:snapToGrid w:val="0"/>
        <w:spacing w:line="620" w:lineRule="exact"/>
        <w:ind w:firstLineChars="200" w:firstLine="560"/>
        <w:rPr>
          <w:rFonts w:ascii="仿宋" w:eastAsia="仿宋" w:hAnsi="仿宋"/>
          <w:sz w:val="28"/>
          <w:szCs w:val="28"/>
        </w:rPr>
      </w:pPr>
      <w:r w:rsidRPr="00AD1CED">
        <w:rPr>
          <w:rFonts w:ascii="仿宋" w:eastAsia="仿宋" w:hAnsi="仿宋" w:hint="eastAsia"/>
          <w:sz w:val="28"/>
          <w:szCs w:val="28"/>
        </w:rPr>
        <w:t>本基金管理人建立了健全的估值决策体系，使用可靠的估值业务系统，采取一系列必要、适当、合理的措施确保基金资产估值的准确、公允。本基金管理人在确定相关金融资产和金融负债的公允价值时，采用在当前情况下适用并且有足够可利用数据和其他信息支持的估值技术。并按照最大限度保护基金份额持有人利益的原则，加强极端市场条件下的估值业务管理。</w:t>
      </w:r>
      <w:r w:rsidR="0045253C" w:rsidRPr="0045253C">
        <w:rPr>
          <w:rFonts w:ascii="仿宋" w:eastAsia="仿宋" w:hAnsi="仿宋" w:hint="eastAsia"/>
          <w:sz w:val="28"/>
          <w:szCs w:val="28"/>
        </w:rPr>
        <w:t>当基金持有无可参考的活跃市场价格且采用估值技术</w:t>
      </w:r>
      <w:proofErr w:type="gramStart"/>
      <w:r w:rsidR="0045253C" w:rsidRPr="0045253C">
        <w:rPr>
          <w:rFonts w:ascii="仿宋" w:eastAsia="仿宋" w:hAnsi="仿宋" w:hint="eastAsia"/>
          <w:sz w:val="28"/>
          <w:szCs w:val="28"/>
        </w:rPr>
        <w:t>仍导致</w:t>
      </w:r>
      <w:proofErr w:type="gramEnd"/>
      <w:r w:rsidR="0045253C" w:rsidRPr="0045253C">
        <w:rPr>
          <w:rFonts w:ascii="仿宋" w:eastAsia="仿宋" w:hAnsi="仿宋" w:hint="eastAsia"/>
          <w:sz w:val="28"/>
          <w:szCs w:val="28"/>
        </w:rPr>
        <w:t>公允价值存在重大不确定性的资产且存在或潜在大额赎回申请时，基金管理人经与基金托管人协商一致，并咨询会计师事务所意见后，可以依照法律法规及基金合同的约定</w:t>
      </w:r>
      <w:proofErr w:type="gramStart"/>
      <w:r w:rsidR="0045253C" w:rsidRPr="0045253C">
        <w:rPr>
          <w:rFonts w:ascii="仿宋" w:eastAsia="仿宋" w:hAnsi="仿宋" w:hint="eastAsia"/>
          <w:sz w:val="28"/>
          <w:szCs w:val="28"/>
        </w:rPr>
        <w:t>启用侧袋机制</w:t>
      </w:r>
      <w:proofErr w:type="gramEnd"/>
      <w:r w:rsidR="0045253C" w:rsidRPr="0045253C">
        <w:rPr>
          <w:rFonts w:ascii="仿宋" w:eastAsia="仿宋" w:hAnsi="仿宋" w:hint="eastAsia"/>
          <w:sz w:val="28"/>
          <w:szCs w:val="28"/>
        </w:rPr>
        <w:t>。</w:t>
      </w:r>
      <w:r w:rsidR="0024146B" w:rsidRPr="0024146B">
        <w:rPr>
          <w:rFonts w:ascii="仿宋" w:eastAsia="仿宋" w:hAnsi="仿宋" w:hint="eastAsia"/>
          <w:sz w:val="28"/>
          <w:szCs w:val="28"/>
        </w:rPr>
        <w:t>当特定资产占前一估值日基金资产净值50%以上的</w:t>
      </w:r>
      <w:r w:rsidRPr="00AD1CED">
        <w:rPr>
          <w:rFonts w:ascii="仿宋" w:eastAsia="仿宋" w:hAnsi="仿宋" w:hint="eastAsia"/>
          <w:sz w:val="28"/>
          <w:szCs w:val="28"/>
        </w:rPr>
        <w:t>，基金管理人将与基金托管人协商暂停基金估值，并采取</w:t>
      </w:r>
      <w:r w:rsidR="0045253C" w:rsidRPr="0045253C">
        <w:rPr>
          <w:rFonts w:ascii="仿宋" w:eastAsia="仿宋" w:hAnsi="仿宋" w:hint="eastAsia"/>
          <w:sz w:val="28"/>
          <w:szCs w:val="28"/>
        </w:rPr>
        <w:t>延缓支付赎回款项或</w:t>
      </w:r>
      <w:r w:rsidRPr="00AD1CED">
        <w:rPr>
          <w:rFonts w:ascii="仿宋" w:eastAsia="仿宋" w:hAnsi="仿宋" w:hint="eastAsia"/>
          <w:sz w:val="28"/>
          <w:szCs w:val="28"/>
        </w:rPr>
        <w:t>暂停接受基金申购赎回申请</w:t>
      </w:r>
      <w:r w:rsidR="0045253C" w:rsidRPr="0045253C">
        <w:rPr>
          <w:rFonts w:ascii="仿宋" w:eastAsia="仿宋" w:hAnsi="仿宋" w:cs="Times New Roman" w:hint="eastAsia"/>
          <w:bCs/>
          <w:sz w:val="28"/>
          <w:szCs w:val="24"/>
        </w:rPr>
        <w:t>的</w:t>
      </w:r>
      <w:r w:rsidRPr="00AD1CED">
        <w:rPr>
          <w:rFonts w:ascii="仿宋" w:eastAsia="仿宋" w:hAnsi="仿宋" w:hint="eastAsia"/>
          <w:sz w:val="28"/>
          <w:szCs w:val="28"/>
        </w:rPr>
        <w:t>措施。</w:t>
      </w:r>
    </w:p>
    <w:p w:rsidR="00604924" w:rsidRDefault="00604924" w:rsidP="00604924">
      <w:pPr>
        <w:snapToGrid w:val="0"/>
        <w:spacing w:line="620" w:lineRule="exact"/>
        <w:ind w:firstLineChars="200" w:firstLine="560"/>
        <w:rPr>
          <w:rFonts w:ascii="仿宋" w:eastAsia="仿宋" w:hAnsi="仿宋"/>
          <w:sz w:val="28"/>
          <w:szCs w:val="28"/>
        </w:rPr>
      </w:pPr>
    </w:p>
    <w:p w:rsidR="0049672F" w:rsidRDefault="0049672F" w:rsidP="00604924">
      <w:pPr>
        <w:snapToGrid w:val="0"/>
        <w:spacing w:line="620" w:lineRule="exact"/>
        <w:ind w:firstLineChars="200" w:firstLine="560"/>
        <w:rPr>
          <w:rFonts w:ascii="仿宋" w:eastAsia="仿宋" w:hAnsi="仿宋"/>
          <w:sz w:val="28"/>
          <w:szCs w:val="28"/>
        </w:rPr>
      </w:pPr>
      <w:r>
        <w:rPr>
          <w:rFonts w:ascii="仿宋" w:eastAsia="仿宋" w:hAnsi="仿宋"/>
          <w:sz w:val="28"/>
          <w:szCs w:val="28"/>
        </w:rPr>
        <w:br w:type="page"/>
      </w:r>
    </w:p>
    <w:p w:rsidR="000058D6" w:rsidRPr="00F8278A" w:rsidRDefault="000058D6" w:rsidP="00604924">
      <w:pPr>
        <w:snapToGrid w:val="0"/>
        <w:spacing w:line="620" w:lineRule="exact"/>
        <w:ind w:firstLineChars="200" w:firstLine="560"/>
        <w:rPr>
          <w:rFonts w:ascii="仿宋" w:eastAsia="仿宋" w:hAnsi="仿宋"/>
          <w:sz w:val="28"/>
          <w:szCs w:val="28"/>
        </w:rPr>
      </w:pPr>
      <w:r w:rsidRPr="00F8278A">
        <w:rPr>
          <w:rFonts w:ascii="仿宋" w:eastAsia="仿宋" w:hAnsi="仿宋" w:hint="eastAsia"/>
          <w:sz w:val="28"/>
          <w:szCs w:val="28"/>
        </w:rPr>
        <w:lastRenderedPageBreak/>
        <w:t>综上所述，综合评估分析投资标的流动性、投资策略、投资限制、销售渠道、潜在投资者类型与风险偏好、投资者结构等因素，本基金采用每日</w:t>
      </w:r>
      <w:proofErr w:type="gramStart"/>
      <w:r w:rsidRPr="00F8278A">
        <w:rPr>
          <w:rFonts w:ascii="仿宋" w:eastAsia="仿宋" w:hAnsi="仿宋" w:hint="eastAsia"/>
          <w:sz w:val="28"/>
          <w:szCs w:val="28"/>
        </w:rPr>
        <w:t>开放申赎的</w:t>
      </w:r>
      <w:proofErr w:type="gramEnd"/>
      <w:r w:rsidRPr="00F8278A">
        <w:rPr>
          <w:rFonts w:ascii="仿宋" w:eastAsia="仿宋" w:hAnsi="仿宋" w:hint="eastAsia"/>
          <w:sz w:val="28"/>
          <w:szCs w:val="28"/>
        </w:rPr>
        <w:t>运作方式，资产的流动性与基金合同约定的申购赎回安排相匹配，投资策略能够支持不同市场情形下投资者的赎回要求，基金投资者结构、基金估值计价等方面安排能够使投资者得到公平对待。</w:t>
      </w:r>
    </w:p>
    <w:p w:rsidR="001F18D7" w:rsidRDefault="001F18D7" w:rsidP="00604924">
      <w:pPr>
        <w:snapToGrid w:val="0"/>
        <w:spacing w:line="620" w:lineRule="exact"/>
        <w:ind w:firstLineChars="200" w:firstLine="560"/>
        <w:rPr>
          <w:rFonts w:ascii="仿宋" w:eastAsia="仿宋" w:hAnsi="仿宋" w:cs="Times New Roman"/>
          <w:sz w:val="28"/>
          <w:szCs w:val="24"/>
        </w:rPr>
      </w:pPr>
    </w:p>
    <w:p w:rsidR="00D46174" w:rsidRDefault="00D46174" w:rsidP="00604924">
      <w:pPr>
        <w:snapToGrid w:val="0"/>
        <w:spacing w:line="620" w:lineRule="exact"/>
        <w:ind w:firstLineChars="200" w:firstLine="560"/>
        <w:rPr>
          <w:rFonts w:ascii="仿宋" w:eastAsia="仿宋" w:hAnsi="仿宋" w:cs="Times New Roman"/>
          <w:sz w:val="28"/>
          <w:szCs w:val="24"/>
        </w:rPr>
      </w:pPr>
    </w:p>
    <w:p w:rsidR="00D46174" w:rsidRPr="00AD1CED" w:rsidRDefault="00D46174" w:rsidP="00604924">
      <w:pPr>
        <w:snapToGrid w:val="0"/>
        <w:spacing w:line="620" w:lineRule="exact"/>
        <w:ind w:firstLineChars="200" w:firstLine="560"/>
        <w:rPr>
          <w:rFonts w:ascii="仿宋" w:eastAsia="仿宋" w:hAnsi="仿宋" w:cs="Times New Roman"/>
          <w:sz w:val="28"/>
          <w:szCs w:val="24"/>
        </w:rPr>
      </w:pPr>
    </w:p>
    <w:p w:rsidR="000058D6" w:rsidRPr="00AD1CED" w:rsidRDefault="000058D6" w:rsidP="00604924">
      <w:pPr>
        <w:snapToGrid w:val="0"/>
        <w:spacing w:line="620" w:lineRule="exact"/>
        <w:ind w:firstLineChars="1600" w:firstLine="4480"/>
        <w:rPr>
          <w:rFonts w:ascii="仿宋" w:eastAsia="仿宋" w:hAnsi="仿宋"/>
          <w:sz w:val="28"/>
          <w:szCs w:val="28"/>
        </w:rPr>
      </w:pPr>
      <w:bookmarkStart w:id="1" w:name="OLE_LINK42"/>
      <w:bookmarkStart w:id="2" w:name="OLE_LINK41"/>
      <w:bookmarkStart w:id="3" w:name="OLE_LINK40"/>
      <w:r w:rsidRPr="00AD1CED">
        <w:rPr>
          <w:rFonts w:ascii="仿宋" w:eastAsia="仿宋" w:hAnsi="仿宋" w:hint="eastAsia"/>
          <w:sz w:val="28"/>
          <w:szCs w:val="28"/>
        </w:rPr>
        <w:t>南方基金管理</w:t>
      </w:r>
      <w:r w:rsidR="00CC7BB9" w:rsidRPr="00AD1CED">
        <w:rPr>
          <w:rFonts w:ascii="仿宋" w:eastAsia="仿宋" w:hAnsi="仿宋" w:hint="eastAsia"/>
          <w:sz w:val="28"/>
          <w:szCs w:val="28"/>
        </w:rPr>
        <w:t>股份</w:t>
      </w:r>
      <w:r w:rsidRPr="00AD1CED">
        <w:rPr>
          <w:rFonts w:ascii="仿宋" w:eastAsia="仿宋" w:hAnsi="仿宋" w:hint="eastAsia"/>
          <w:sz w:val="28"/>
          <w:szCs w:val="28"/>
        </w:rPr>
        <w:t>有限公司</w:t>
      </w:r>
    </w:p>
    <w:p w:rsidR="000058D6" w:rsidRPr="00AD1CED" w:rsidRDefault="000058D6" w:rsidP="00604924">
      <w:pPr>
        <w:snapToGrid w:val="0"/>
        <w:spacing w:line="620" w:lineRule="exact"/>
        <w:rPr>
          <w:rFonts w:ascii="仿宋" w:eastAsia="仿宋" w:hAnsi="仿宋"/>
          <w:sz w:val="28"/>
          <w:szCs w:val="28"/>
        </w:rPr>
      </w:pPr>
      <w:r w:rsidRPr="00AD1CED">
        <w:rPr>
          <w:rFonts w:ascii="仿宋" w:eastAsia="仿宋" w:hAnsi="仿宋" w:hint="eastAsia"/>
          <w:sz w:val="28"/>
          <w:szCs w:val="28"/>
        </w:rPr>
        <w:t xml:space="preserve">                                      </w:t>
      </w:r>
      <w:r w:rsidRPr="00AD1CED">
        <w:rPr>
          <w:rFonts w:ascii="仿宋" w:eastAsia="仿宋" w:hAnsi="仿宋" w:cs="仿宋_GB2312" w:hint="eastAsia"/>
          <w:sz w:val="28"/>
          <w:szCs w:val="28"/>
        </w:rPr>
        <w:t>年    月    日</w:t>
      </w:r>
      <w:bookmarkEnd w:id="1"/>
      <w:bookmarkEnd w:id="2"/>
      <w:bookmarkEnd w:id="3"/>
    </w:p>
    <w:p w:rsidR="003733BF" w:rsidRDefault="003733BF" w:rsidP="00604924">
      <w:pPr>
        <w:snapToGrid w:val="0"/>
        <w:spacing w:line="620" w:lineRule="exact"/>
        <w:jc w:val="left"/>
        <w:rPr>
          <w:rFonts w:ascii="仿宋" w:eastAsia="仿宋" w:hAnsi="仿宋"/>
          <w:sz w:val="28"/>
        </w:rPr>
      </w:pPr>
    </w:p>
    <w:p w:rsidR="00D46174" w:rsidRDefault="00D46174" w:rsidP="00604924">
      <w:pPr>
        <w:snapToGrid w:val="0"/>
        <w:spacing w:line="620" w:lineRule="exact"/>
        <w:jc w:val="left"/>
        <w:rPr>
          <w:rFonts w:ascii="仿宋" w:eastAsia="仿宋" w:hAnsi="仿宋"/>
          <w:sz w:val="28"/>
        </w:rPr>
      </w:pPr>
    </w:p>
    <w:p w:rsidR="00D46174" w:rsidRPr="00AD1CED" w:rsidRDefault="00D46174" w:rsidP="00604924">
      <w:pPr>
        <w:snapToGrid w:val="0"/>
        <w:spacing w:line="620" w:lineRule="exact"/>
        <w:jc w:val="left"/>
        <w:rPr>
          <w:rFonts w:ascii="仿宋" w:eastAsia="仿宋" w:hAnsi="仿宋"/>
          <w:sz w:val="28"/>
        </w:rPr>
      </w:pPr>
    </w:p>
    <w:p w:rsidR="003733BF" w:rsidRPr="00863AE0" w:rsidRDefault="003733BF" w:rsidP="00604924">
      <w:pPr>
        <w:snapToGrid w:val="0"/>
        <w:spacing w:line="620" w:lineRule="exact"/>
        <w:jc w:val="left"/>
        <w:rPr>
          <w:rFonts w:ascii="仿宋" w:eastAsia="仿宋" w:hAnsi="仿宋"/>
          <w:sz w:val="28"/>
        </w:rPr>
      </w:pPr>
      <w:r w:rsidRPr="00863AE0">
        <w:rPr>
          <w:rFonts w:ascii="仿宋" w:eastAsia="仿宋" w:hAnsi="仿宋" w:hint="eastAsia"/>
          <w:sz w:val="28"/>
        </w:rPr>
        <w:t>拟任基金经理签字：</w:t>
      </w:r>
    </w:p>
    <w:p w:rsidR="003733BF" w:rsidRPr="00863AE0" w:rsidRDefault="003733BF" w:rsidP="00604924">
      <w:pPr>
        <w:snapToGrid w:val="0"/>
        <w:spacing w:line="620" w:lineRule="exact"/>
        <w:jc w:val="left"/>
        <w:rPr>
          <w:rFonts w:ascii="仿宋" w:eastAsia="仿宋" w:hAnsi="仿宋"/>
          <w:sz w:val="28"/>
        </w:rPr>
      </w:pPr>
    </w:p>
    <w:p w:rsidR="003733BF" w:rsidRPr="00863AE0" w:rsidRDefault="003733BF" w:rsidP="00604924">
      <w:pPr>
        <w:snapToGrid w:val="0"/>
        <w:spacing w:line="620" w:lineRule="exact"/>
        <w:jc w:val="left"/>
        <w:rPr>
          <w:rFonts w:ascii="仿宋" w:eastAsia="仿宋" w:hAnsi="仿宋"/>
          <w:sz w:val="28"/>
        </w:rPr>
      </w:pPr>
    </w:p>
    <w:p w:rsidR="003733BF" w:rsidRPr="00863AE0" w:rsidRDefault="003733BF" w:rsidP="00604924">
      <w:pPr>
        <w:snapToGrid w:val="0"/>
        <w:spacing w:line="620" w:lineRule="exact"/>
        <w:jc w:val="left"/>
        <w:rPr>
          <w:rFonts w:ascii="仿宋" w:eastAsia="仿宋" w:hAnsi="仿宋"/>
          <w:sz w:val="28"/>
        </w:rPr>
      </w:pPr>
    </w:p>
    <w:p w:rsidR="003733BF" w:rsidRPr="00863AE0" w:rsidRDefault="00FB499F" w:rsidP="00604924">
      <w:pPr>
        <w:snapToGrid w:val="0"/>
        <w:spacing w:line="620" w:lineRule="exact"/>
        <w:jc w:val="left"/>
        <w:rPr>
          <w:rFonts w:ascii="仿宋" w:eastAsia="仿宋" w:hAnsi="仿宋"/>
          <w:sz w:val="28"/>
        </w:rPr>
      </w:pPr>
      <w:r w:rsidRPr="00FB499F">
        <w:rPr>
          <w:rFonts w:ascii="仿宋" w:eastAsia="仿宋" w:hAnsi="仿宋" w:hint="eastAsia"/>
          <w:sz w:val="28"/>
        </w:rPr>
        <w:t>高级管理人员签字：</w:t>
      </w:r>
    </w:p>
    <w:p w:rsidR="003733BF" w:rsidRPr="00863AE0" w:rsidRDefault="003733BF" w:rsidP="00604924">
      <w:pPr>
        <w:snapToGrid w:val="0"/>
        <w:spacing w:line="620" w:lineRule="exact"/>
        <w:jc w:val="left"/>
        <w:rPr>
          <w:rFonts w:ascii="仿宋" w:eastAsia="仿宋" w:hAnsi="仿宋"/>
          <w:sz w:val="28"/>
        </w:rPr>
      </w:pPr>
    </w:p>
    <w:sectPr w:rsidR="003733BF" w:rsidRPr="00863AE0" w:rsidSect="00EC256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655F" w:rsidRDefault="005B655F" w:rsidP="001E2094">
      <w:r>
        <w:separator/>
      </w:r>
    </w:p>
  </w:endnote>
  <w:endnote w:type="continuationSeparator" w:id="0">
    <w:p w:rsidR="005B655F" w:rsidRDefault="005B655F" w:rsidP="001E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2669490"/>
      <w:docPartObj>
        <w:docPartGallery w:val="Page Numbers (Bottom of Page)"/>
        <w:docPartUnique/>
      </w:docPartObj>
    </w:sdtPr>
    <w:sdtEndPr>
      <w:rPr>
        <w:rFonts w:ascii="仿宋" w:eastAsia="仿宋" w:hAnsi="仿宋"/>
      </w:rPr>
    </w:sdtEndPr>
    <w:sdtContent>
      <w:p w:rsidR="008D2320" w:rsidRPr="008D2320" w:rsidRDefault="008D2320">
        <w:pPr>
          <w:pStyle w:val="af"/>
          <w:jc w:val="center"/>
          <w:rPr>
            <w:rFonts w:ascii="仿宋" w:eastAsia="仿宋" w:hAnsi="仿宋"/>
          </w:rPr>
        </w:pPr>
        <w:r w:rsidRPr="008D2320">
          <w:rPr>
            <w:rFonts w:ascii="仿宋" w:eastAsia="仿宋" w:hAnsi="仿宋"/>
          </w:rPr>
          <w:fldChar w:fldCharType="begin"/>
        </w:r>
        <w:r w:rsidRPr="008D2320">
          <w:rPr>
            <w:rFonts w:ascii="仿宋" w:eastAsia="仿宋" w:hAnsi="仿宋"/>
          </w:rPr>
          <w:instrText>PAGE   \* MERGEFORMAT</w:instrText>
        </w:r>
        <w:r w:rsidRPr="008D2320">
          <w:rPr>
            <w:rFonts w:ascii="仿宋" w:eastAsia="仿宋" w:hAnsi="仿宋"/>
          </w:rPr>
          <w:fldChar w:fldCharType="separate"/>
        </w:r>
        <w:r w:rsidR="00360816" w:rsidRPr="00360816">
          <w:rPr>
            <w:rFonts w:ascii="仿宋" w:eastAsia="仿宋" w:hAnsi="仿宋"/>
            <w:noProof/>
            <w:lang w:val="zh-CN"/>
          </w:rPr>
          <w:t>6</w:t>
        </w:r>
        <w:r w:rsidRPr="008D2320">
          <w:rPr>
            <w:rFonts w:ascii="仿宋" w:eastAsia="仿宋" w:hAnsi="仿宋"/>
          </w:rPr>
          <w:fldChar w:fldCharType="end"/>
        </w:r>
      </w:p>
    </w:sdtContent>
  </w:sdt>
  <w:p w:rsidR="008D2320" w:rsidRDefault="008D232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655F" w:rsidRDefault="005B655F" w:rsidP="001E2094">
      <w:r>
        <w:separator/>
      </w:r>
    </w:p>
  </w:footnote>
  <w:footnote w:type="continuationSeparator" w:id="0">
    <w:p w:rsidR="005B655F" w:rsidRDefault="005B655F" w:rsidP="001E2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81C61"/>
    <w:multiLevelType w:val="hybridMultilevel"/>
    <w:tmpl w:val="DAB01F72"/>
    <w:lvl w:ilvl="0" w:tplc="0F44E1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193"/>
    <w:rsid w:val="0000330B"/>
    <w:rsid w:val="000058D6"/>
    <w:rsid w:val="0001382A"/>
    <w:rsid w:val="00016EC9"/>
    <w:rsid w:val="0002043A"/>
    <w:rsid w:val="00025D7F"/>
    <w:rsid w:val="00037E90"/>
    <w:rsid w:val="00040D34"/>
    <w:rsid w:val="00041C42"/>
    <w:rsid w:val="00042CFA"/>
    <w:rsid w:val="00046C44"/>
    <w:rsid w:val="00047F43"/>
    <w:rsid w:val="00050302"/>
    <w:rsid w:val="00057CCB"/>
    <w:rsid w:val="0006034E"/>
    <w:rsid w:val="0006102F"/>
    <w:rsid w:val="00071DC8"/>
    <w:rsid w:val="00076A14"/>
    <w:rsid w:val="000836DC"/>
    <w:rsid w:val="00084D19"/>
    <w:rsid w:val="000B7460"/>
    <w:rsid w:val="000E5332"/>
    <w:rsid w:val="00102F8B"/>
    <w:rsid w:val="00106B40"/>
    <w:rsid w:val="00125606"/>
    <w:rsid w:val="00126D8B"/>
    <w:rsid w:val="00136F4B"/>
    <w:rsid w:val="001426B5"/>
    <w:rsid w:val="00143E12"/>
    <w:rsid w:val="001502CF"/>
    <w:rsid w:val="00163A3F"/>
    <w:rsid w:val="00170BD0"/>
    <w:rsid w:val="00174888"/>
    <w:rsid w:val="001753A9"/>
    <w:rsid w:val="00176022"/>
    <w:rsid w:val="00183F2D"/>
    <w:rsid w:val="00187BCF"/>
    <w:rsid w:val="00194BA1"/>
    <w:rsid w:val="001A514F"/>
    <w:rsid w:val="001A7E5B"/>
    <w:rsid w:val="001B33C3"/>
    <w:rsid w:val="001C0F00"/>
    <w:rsid w:val="001C4EAE"/>
    <w:rsid w:val="001D3607"/>
    <w:rsid w:val="001E16B4"/>
    <w:rsid w:val="001E2094"/>
    <w:rsid w:val="001E332E"/>
    <w:rsid w:val="001F07FA"/>
    <w:rsid w:val="001F18D7"/>
    <w:rsid w:val="001F76AB"/>
    <w:rsid w:val="002038A6"/>
    <w:rsid w:val="002110E7"/>
    <w:rsid w:val="00222F21"/>
    <w:rsid w:val="00223DDC"/>
    <w:rsid w:val="00224FA3"/>
    <w:rsid w:val="00227B69"/>
    <w:rsid w:val="00235A40"/>
    <w:rsid w:val="0023751E"/>
    <w:rsid w:val="00241379"/>
    <w:rsid w:val="0024146B"/>
    <w:rsid w:val="002476A7"/>
    <w:rsid w:val="00257E45"/>
    <w:rsid w:val="00271F20"/>
    <w:rsid w:val="00281288"/>
    <w:rsid w:val="00290CD7"/>
    <w:rsid w:val="002A1C88"/>
    <w:rsid w:val="002A6193"/>
    <w:rsid w:val="002A7B34"/>
    <w:rsid w:val="002B2DB6"/>
    <w:rsid w:val="002C1CA6"/>
    <w:rsid w:val="002D393D"/>
    <w:rsid w:val="002D49FA"/>
    <w:rsid w:val="002E244A"/>
    <w:rsid w:val="002F1BA0"/>
    <w:rsid w:val="002F2B8E"/>
    <w:rsid w:val="003000D4"/>
    <w:rsid w:val="003044A4"/>
    <w:rsid w:val="00312BCF"/>
    <w:rsid w:val="00320888"/>
    <w:rsid w:val="00330431"/>
    <w:rsid w:val="003311E3"/>
    <w:rsid w:val="003524D6"/>
    <w:rsid w:val="00360816"/>
    <w:rsid w:val="00361D76"/>
    <w:rsid w:val="00366CD3"/>
    <w:rsid w:val="00367C27"/>
    <w:rsid w:val="003733BF"/>
    <w:rsid w:val="00380CD5"/>
    <w:rsid w:val="00383333"/>
    <w:rsid w:val="00385D91"/>
    <w:rsid w:val="003A02A9"/>
    <w:rsid w:val="003A04D8"/>
    <w:rsid w:val="003A1C6A"/>
    <w:rsid w:val="003B1F2C"/>
    <w:rsid w:val="003C2042"/>
    <w:rsid w:val="003E6582"/>
    <w:rsid w:val="003F02B5"/>
    <w:rsid w:val="003F0FBB"/>
    <w:rsid w:val="004060D7"/>
    <w:rsid w:val="00410463"/>
    <w:rsid w:val="00417EF6"/>
    <w:rsid w:val="00420658"/>
    <w:rsid w:val="00421A5C"/>
    <w:rsid w:val="0043039F"/>
    <w:rsid w:val="00434AE7"/>
    <w:rsid w:val="00436968"/>
    <w:rsid w:val="00441DA6"/>
    <w:rsid w:val="0045253C"/>
    <w:rsid w:val="0048016E"/>
    <w:rsid w:val="00482499"/>
    <w:rsid w:val="0049672F"/>
    <w:rsid w:val="004A2FD2"/>
    <w:rsid w:val="004A6B46"/>
    <w:rsid w:val="004D3B47"/>
    <w:rsid w:val="004F16CE"/>
    <w:rsid w:val="004F4D1F"/>
    <w:rsid w:val="004F70E7"/>
    <w:rsid w:val="004F7D32"/>
    <w:rsid w:val="00513501"/>
    <w:rsid w:val="00520204"/>
    <w:rsid w:val="0054203D"/>
    <w:rsid w:val="00544EDC"/>
    <w:rsid w:val="00562D99"/>
    <w:rsid w:val="005649C8"/>
    <w:rsid w:val="00567B3C"/>
    <w:rsid w:val="00570EF9"/>
    <w:rsid w:val="00574BA7"/>
    <w:rsid w:val="00580212"/>
    <w:rsid w:val="00582BF6"/>
    <w:rsid w:val="00583E31"/>
    <w:rsid w:val="00590C10"/>
    <w:rsid w:val="0059333A"/>
    <w:rsid w:val="005A0F59"/>
    <w:rsid w:val="005B2AAE"/>
    <w:rsid w:val="005B2CF8"/>
    <w:rsid w:val="005B655F"/>
    <w:rsid w:val="005C1A7D"/>
    <w:rsid w:val="005C27C9"/>
    <w:rsid w:val="005C4472"/>
    <w:rsid w:val="005D3B45"/>
    <w:rsid w:val="005D4336"/>
    <w:rsid w:val="005D4521"/>
    <w:rsid w:val="005F3835"/>
    <w:rsid w:val="005F4537"/>
    <w:rsid w:val="005F4986"/>
    <w:rsid w:val="00603CC5"/>
    <w:rsid w:val="00604924"/>
    <w:rsid w:val="00605F3E"/>
    <w:rsid w:val="00612048"/>
    <w:rsid w:val="00621259"/>
    <w:rsid w:val="00622119"/>
    <w:rsid w:val="006230CC"/>
    <w:rsid w:val="00630312"/>
    <w:rsid w:val="0063610D"/>
    <w:rsid w:val="00642944"/>
    <w:rsid w:val="006501D8"/>
    <w:rsid w:val="00653CBE"/>
    <w:rsid w:val="00655B90"/>
    <w:rsid w:val="00660683"/>
    <w:rsid w:val="006651B2"/>
    <w:rsid w:val="00667CA4"/>
    <w:rsid w:val="00672534"/>
    <w:rsid w:val="006831D0"/>
    <w:rsid w:val="00687AC4"/>
    <w:rsid w:val="00693BCC"/>
    <w:rsid w:val="006A4E04"/>
    <w:rsid w:val="006B151A"/>
    <w:rsid w:val="006B5ECC"/>
    <w:rsid w:val="006B6846"/>
    <w:rsid w:val="006C4335"/>
    <w:rsid w:val="006D7524"/>
    <w:rsid w:val="006F1A45"/>
    <w:rsid w:val="006F20B5"/>
    <w:rsid w:val="006F4C7E"/>
    <w:rsid w:val="00707B88"/>
    <w:rsid w:val="00711A5C"/>
    <w:rsid w:val="0072776F"/>
    <w:rsid w:val="00727B0C"/>
    <w:rsid w:val="00731DFE"/>
    <w:rsid w:val="00741FAC"/>
    <w:rsid w:val="0075220B"/>
    <w:rsid w:val="0076404A"/>
    <w:rsid w:val="007713F1"/>
    <w:rsid w:val="007771B6"/>
    <w:rsid w:val="00783318"/>
    <w:rsid w:val="00785370"/>
    <w:rsid w:val="00790F49"/>
    <w:rsid w:val="00796C32"/>
    <w:rsid w:val="007A470B"/>
    <w:rsid w:val="007A5F41"/>
    <w:rsid w:val="007A7422"/>
    <w:rsid w:val="007B4C16"/>
    <w:rsid w:val="007B6F08"/>
    <w:rsid w:val="007D557E"/>
    <w:rsid w:val="007E3172"/>
    <w:rsid w:val="007F390C"/>
    <w:rsid w:val="00815A48"/>
    <w:rsid w:val="0082003F"/>
    <w:rsid w:val="00821A50"/>
    <w:rsid w:val="00823127"/>
    <w:rsid w:val="0082361A"/>
    <w:rsid w:val="0083281A"/>
    <w:rsid w:val="008520F8"/>
    <w:rsid w:val="0085319A"/>
    <w:rsid w:val="00854306"/>
    <w:rsid w:val="00863AE0"/>
    <w:rsid w:val="00863E0E"/>
    <w:rsid w:val="00864CAA"/>
    <w:rsid w:val="00874CE4"/>
    <w:rsid w:val="00882B15"/>
    <w:rsid w:val="00887A49"/>
    <w:rsid w:val="008A76C4"/>
    <w:rsid w:val="008B775C"/>
    <w:rsid w:val="008C17F7"/>
    <w:rsid w:val="008C5245"/>
    <w:rsid w:val="008D2320"/>
    <w:rsid w:val="008D3F7A"/>
    <w:rsid w:val="008D447E"/>
    <w:rsid w:val="008D4873"/>
    <w:rsid w:val="008D7E7E"/>
    <w:rsid w:val="008E0F5D"/>
    <w:rsid w:val="008E1656"/>
    <w:rsid w:val="008E402B"/>
    <w:rsid w:val="008F5884"/>
    <w:rsid w:val="00900EC8"/>
    <w:rsid w:val="00905311"/>
    <w:rsid w:val="00911C52"/>
    <w:rsid w:val="00917A1D"/>
    <w:rsid w:val="00922B79"/>
    <w:rsid w:val="00931579"/>
    <w:rsid w:val="009334CD"/>
    <w:rsid w:val="00934926"/>
    <w:rsid w:val="009371E3"/>
    <w:rsid w:val="00937733"/>
    <w:rsid w:val="00957BF1"/>
    <w:rsid w:val="00964AC8"/>
    <w:rsid w:val="009730E9"/>
    <w:rsid w:val="009803AF"/>
    <w:rsid w:val="00983746"/>
    <w:rsid w:val="00987BD4"/>
    <w:rsid w:val="009950F2"/>
    <w:rsid w:val="009A3A1F"/>
    <w:rsid w:val="009B3569"/>
    <w:rsid w:val="009D0E3A"/>
    <w:rsid w:val="009D7D68"/>
    <w:rsid w:val="009E7D94"/>
    <w:rsid w:val="009F21D7"/>
    <w:rsid w:val="009F2610"/>
    <w:rsid w:val="009F30A1"/>
    <w:rsid w:val="009F5843"/>
    <w:rsid w:val="00A06F19"/>
    <w:rsid w:val="00A210A6"/>
    <w:rsid w:val="00A3475C"/>
    <w:rsid w:val="00A42F8A"/>
    <w:rsid w:val="00A450FA"/>
    <w:rsid w:val="00A4516F"/>
    <w:rsid w:val="00A6003B"/>
    <w:rsid w:val="00A74C6C"/>
    <w:rsid w:val="00A7606F"/>
    <w:rsid w:val="00AA2781"/>
    <w:rsid w:val="00AA44D1"/>
    <w:rsid w:val="00AB2CF1"/>
    <w:rsid w:val="00AB2CF9"/>
    <w:rsid w:val="00AC2F7F"/>
    <w:rsid w:val="00AC5026"/>
    <w:rsid w:val="00AC6576"/>
    <w:rsid w:val="00AD1CED"/>
    <w:rsid w:val="00AE0FC0"/>
    <w:rsid w:val="00AE31B5"/>
    <w:rsid w:val="00AE5B5B"/>
    <w:rsid w:val="00AF1A36"/>
    <w:rsid w:val="00AF3F83"/>
    <w:rsid w:val="00AF6174"/>
    <w:rsid w:val="00B01A97"/>
    <w:rsid w:val="00B028C9"/>
    <w:rsid w:val="00B04A27"/>
    <w:rsid w:val="00B143DE"/>
    <w:rsid w:val="00B31844"/>
    <w:rsid w:val="00B35453"/>
    <w:rsid w:val="00B50D90"/>
    <w:rsid w:val="00B67A57"/>
    <w:rsid w:val="00B706D6"/>
    <w:rsid w:val="00B7299F"/>
    <w:rsid w:val="00B72F51"/>
    <w:rsid w:val="00B764C7"/>
    <w:rsid w:val="00B85B4E"/>
    <w:rsid w:val="00B86531"/>
    <w:rsid w:val="00B87CE0"/>
    <w:rsid w:val="00B91CD7"/>
    <w:rsid w:val="00B9200A"/>
    <w:rsid w:val="00B936CA"/>
    <w:rsid w:val="00BB1BBF"/>
    <w:rsid w:val="00BB2417"/>
    <w:rsid w:val="00BB475A"/>
    <w:rsid w:val="00BB7664"/>
    <w:rsid w:val="00BC0E07"/>
    <w:rsid w:val="00BE288F"/>
    <w:rsid w:val="00BF394F"/>
    <w:rsid w:val="00BF5D64"/>
    <w:rsid w:val="00BF784F"/>
    <w:rsid w:val="00C03AF6"/>
    <w:rsid w:val="00C06462"/>
    <w:rsid w:val="00C13E46"/>
    <w:rsid w:val="00C26BB3"/>
    <w:rsid w:val="00C31B1F"/>
    <w:rsid w:val="00C340FF"/>
    <w:rsid w:val="00C45B72"/>
    <w:rsid w:val="00C5018B"/>
    <w:rsid w:val="00C51990"/>
    <w:rsid w:val="00C57B35"/>
    <w:rsid w:val="00C76C40"/>
    <w:rsid w:val="00C85FA3"/>
    <w:rsid w:val="00CA6028"/>
    <w:rsid w:val="00CB1AF9"/>
    <w:rsid w:val="00CB26E6"/>
    <w:rsid w:val="00CB5E57"/>
    <w:rsid w:val="00CC437C"/>
    <w:rsid w:val="00CC7BB9"/>
    <w:rsid w:val="00CE1666"/>
    <w:rsid w:val="00CE7CF2"/>
    <w:rsid w:val="00CE7D02"/>
    <w:rsid w:val="00CF665B"/>
    <w:rsid w:val="00CF6AA7"/>
    <w:rsid w:val="00D013C8"/>
    <w:rsid w:val="00D164D7"/>
    <w:rsid w:val="00D326C4"/>
    <w:rsid w:val="00D35A2C"/>
    <w:rsid w:val="00D36D96"/>
    <w:rsid w:val="00D46174"/>
    <w:rsid w:val="00D47B77"/>
    <w:rsid w:val="00D47E01"/>
    <w:rsid w:val="00D502BE"/>
    <w:rsid w:val="00D53279"/>
    <w:rsid w:val="00D70CDF"/>
    <w:rsid w:val="00D7519F"/>
    <w:rsid w:val="00D86953"/>
    <w:rsid w:val="00DA3A4E"/>
    <w:rsid w:val="00DB485E"/>
    <w:rsid w:val="00DB7B18"/>
    <w:rsid w:val="00DC3661"/>
    <w:rsid w:val="00DD296F"/>
    <w:rsid w:val="00DD48BE"/>
    <w:rsid w:val="00DE0D6D"/>
    <w:rsid w:val="00DE1E28"/>
    <w:rsid w:val="00DE4E07"/>
    <w:rsid w:val="00DF2E5E"/>
    <w:rsid w:val="00E07F70"/>
    <w:rsid w:val="00E128B1"/>
    <w:rsid w:val="00E151CD"/>
    <w:rsid w:val="00E15995"/>
    <w:rsid w:val="00E161BA"/>
    <w:rsid w:val="00E2244D"/>
    <w:rsid w:val="00E33A2E"/>
    <w:rsid w:val="00E428C7"/>
    <w:rsid w:val="00E463AB"/>
    <w:rsid w:val="00E505E5"/>
    <w:rsid w:val="00E5087F"/>
    <w:rsid w:val="00E512A2"/>
    <w:rsid w:val="00E54AC6"/>
    <w:rsid w:val="00E60C6F"/>
    <w:rsid w:val="00E87BFC"/>
    <w:rsid w:val="00E96667"/>
    <w:rsid w:val="00EA1CF8"/>
    <w:rsid w:val="00EB173B"/>
    <w:rsid w:val="00EB738D"/>
    <w:rsid w:val="00EC2562"/>
    <w:rsid w:val="00EC52C0"/>
    <w:rsid w:val="00EC5898"/>
    <w:rsid w:val="00ED3FFA"/>
    <w:rsid w:val="00EE5716"/>
    <w:rsid w:val="00EF2939"/>
    <w:rsid w:val="00F0254F"/>
    <w:rsid w:val="00F16AAA"/>
    <w:rsid w:val="00F171F4"/>
    <w:rsid w:val="00F36602"/>
    <w:rsid w:val="00F440B8"/>
    <w:rsid w:val="00F50BF6"/>
    <w:rsid w:val="00F50DC0"/>
    <w:rsid w:val="00F56DAB"/>
    <w:rsid w:val="00F65D37"/>
    <w:rsid w:val="00F719E3"/>
    <w:rsid w:val="00F776EB"/>
    <w:rsid w:val="00F8278A"/>
    <w:rsid w:val="00F97A8F"/>
    <w:rsid w:val="00FA3469"/>
    <w:rsid w:val="00FA346B"/>
    <w:rsid w:val="00FB499F"/>
    <w:rsid w:val="00FB4EE3"/>
    <w:rsid w:val="00FB5DDB"/>
    <w:rsid w:val="00FB6E0F"/>
    <w:rsid w:val="00FE2B8B"/>
    <w:rsid w:val="00FE4C62"/>
    <w:rsid w:val="00FE4E8C"/>
    <w:rsid w:val="00FE63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A6F19A-2F9C-4616-ABD2-33B964E6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25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3501"/>
    <w:pPr>
      <w:ind w:firstLineChars="200" w:firstLine="420"/>
    </w:pPr>
  </w:style>
  <w:style w:type="paragraph" w:styleId="a4">
    <w:name w:val="Body Text"/>
    <w:basedOn w:val="a"/>
    <w:link w:val="a5"/>
    <w:rsid w:val="00E07F70"/>
    <w:pPr>
      <w:jc w:val="center"/>
    </w:pPr>
    <w:rPr>
      <w:rFonts w:ascii="Times New Roman" w:eastAsia="宋体" w:hAnsi="Times New Roman" w:cs="Times New Roman"/>
      <w:b/>
      <w:bCs/>
      <w:sz w:val="44"/>
      <w:szCs w:val="24"/>
    </w:rPr>
  </w:style>
  <w:style w:type="character" w:customStyle="1" w:styleId="a5">
    <w:name w:val="正文文本 字符"/>
    <w:basedOn w:val="a0"/>
    <w:link w:val="a4"/>
    <w:rsid w:val="00E07F70"/>
    <w:rPr>
      <w:rFonts w:ascii="Times New Roman" w:eastAsia="宋体" w:hAnsi="Times New Roman" w:cs="Times New Roman"/>
      <w:b/>
      <w:bCs/>
      <w:sz w:val="44"/>
      <w:szCs w:val="24"/>
    </w:rPr>
  </w:style>
  <w:style w:type="character" w:styleId="a6">
    <w:name w:val="annotation reference"/>
    <w:basedOn w:val="a0"/>
    <w:uiPriority w:val="99"/>
    <w:semiHidden/>
    <w:unhideWhenUsed/>
    <w:rsid w:val="00905311"/>
    <w:rPr>
      <w:sz w:val="21"/>
      <w:szCs w:val="21"/>
    </w:rPr>
  </w:style>
  <w:style w:type="paragraph" w:styleId="a7">
    <w:name w:val="annotation text"/>
    <w:basedOn w:val="a"/>
    <w:link w:val="a8"/>
    <w:uiPriority w:val="99"/>
    <w:semiHidden/>
    <w:unhideWhenUsed/>
    <w:rsid w:val="00905311"/>
    <w:pPr>
      <w:jc w:val="left"/>
    </w:pPr>
  </w:style>
  <w:style w:type="character" w:customStyle="1" w:styleId="a8">
    <w:name w:val="批注文字 字符"/>
    <w:basedOn w:val="a0"/>
    <w:link w:val="a7"/>
    <w:uiPriority w:val="99"/>
    <w:semiHidden/>
    <w:rsid w:val="00905311"/>
  </w:style>
  <w:style w:type="paragraph" w:styleId="a9">
    <w:name w:val="annotation subject"/>
    <w:basedOn w:val="a7"/>
    <w:next w:val="a7"/>
    <w:link w:val="aa"/>
    <w:uiPriority w:val="99"/>
    <w:semiHidden/>
    <w:unhideWhenUsed/>
    <w:rsid w:val="00905311"/>
    <w:rPr>
      <w:b/>
      <w:bCs/>
    </w:rPr>
  </w:style>
  <w:style w:type="character" w:customStyle="1" w:styleId="aa">
    <w:name w:val="批注主题 字符"/>
    <w:basedOn w:val="a8"/>
    <w:link w:val="a9"/>
    <w:uiPriority w:val="99"/>
    <w:semiHidden/>
    <w:rsid w:val="00905311"/>
    <w:rPr>
      <w:b/>
      <w:bCs/>
    </w:rPr>
  </w:style>
  <w:style w:type="paragraph" w:styleId="ab">
    <w:name w:val="Balloon Text"/>
    <w:basedOn w:val="a"/>
    <w:link w:val="ac"/>
    <w:uiPriority w:val="99"/>
    <w:semiHidden/>
    <w:unhideWhenUsed/>
    <w:rsid w:val="00905311"/>
    <w:rPr>
      <w:sz w:val="18"/>
      <w:szCs w:val="18"/>
    </w:rPr>
  </w:style>
  <w:style w:type="character" w:customStyle="1" w:styleId="ac">
    <w:name w:val="批注框文本 字符"/>
    <w:basedOn w:val="a0"/>
    <w:link w:val="ab"/>
    <w:uiPriority w:val="99"/>
    <w:semiHidden/>
    <w:rsid w:val="00905311"/>
    <w:rPr>
      <w:sz w:val="18"/>
      <w:szCs w:val="18"/>
    </w:rPr>
  </w:style>
  <w:style w:type="paragraph" w:styleId="ad">
    <w:name w:val="header"/>
    <w:basedOn w:val="a"/>
    <w:link w:val="ae"/>
    <w:uiPriority w:val="99"/>
    <w:unhideWhenUsed/>
    <w:rsid w:val="001E2094"/>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1E2094"/>
    <w:rPr>
      <w:sz w:val="18"/>
      <w:szCs w:val="18"/>
    </w:rPr>
  </w:style>
  <w:style w:type="paragraph" w:styleId="af">
    <w:name w:val="footer"/>
    <w:basedOn w:val="a"/>
    <w:link w:val="af0"/>
    <w:uiPriority w:val="99"/>
    <w:unhideWhenUsed/>
    <w:rsid w:val="001E2094"/>
    <w:pPr>
      <w:tabs>
        <w:tab w:val="center" w:pos="4153"/>
        <w:tab w:val="right" w:pos="8306"/>
      </w:tabs>
      <w:snapToGrid w:val="0"/>
      <w:jc w:val="left"/>
    </w:pPr>
    <w:rPr>
      <w:sz w:val="18"/>
      <w:szCs w:val="18"/>
    </w:rPr>
  </w:style>
  <w:style w:type="character" w:customStyle="1" w:styleId="af0">
    <w:name w:val="页脚 字符"/>
    <w:basedOn w:val="a0"/>
    <w:link w:val="af"/>
    <w:uiPriority w:val="99"/>
    <w:rsid w:val="001E2094"/>
    <w:rPr>
      <w:sz w:val="18"/>
      <w:szCs w:val="18"/>
    </w:rPr>
  </w:style>
  <w:style w:type="table" w:styleId="af1">
    <w:name w:val="Table Grid"/>
    <w:basedOn w:val="a1"/>
    <w:uiPriority w:val="39"/>
    <w:rsid w:val="00F50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
    <w:name w:val="HD正文"/>
    <w:basedOn w:val="a"/>
    <w:qFormat/>
    <w:rsid w:val="006B151A"/>
    <w:pPr>
      <w:numPr>
        <w:ilvl w:val="12"/>
      </w:numPr>
      <w:snapToGrid w:val="0"/>
      <w:spacing w:line="360" w:lineRule="auto"/>
      <w:ind w:firstLineChars="200" w:firstLine="420"/>
    </w:pPr>
    <w:rPr>
      <w:rFonts w:ascii="Times New Roman" w:eastAsia="宋体" w:hAnsi="Times New Roman" w:cs="Times New Roman"/>
      <w:szCs w:val="21"/>
    </w:rPr>
  </w:style>
  <w:style w:type="paragraph" w:styleId="2">
    <w:name w:val="Body Text Indent 2"/>
    <w:basedOn w:val="a"/>
    <w:link w:val="20"/>
    <w:uiPriority w:val="99"/>
    <w:unhideWhenUsed/>
    <w:rsid w:val="00AC5026"/>
    <w:pPr>
      <w:spacing w:after="120" w:line="480" w:lineRule="auto"/>
      <w:ind w:leftChars="200" w:left="420"/>
    </w:pPr>
  </w:style>
  <w:style w:type="character" w:customStyle="1" w:styleId="20">
    <w:name w:val="正文文本缩进 2 字符"/>
    <w:basedOn w:val="a0"/>
    <w:link w:val="2"/>
    <w:uiPriority w:val="99"/>
    <w:rsid w:val="00AC5026"/>
  </w:style>
  <w:style w:type="paragraph" w:styleId="af2">
    <w:name w:val="Revision"/>
    <w:hidden/>
    <w:uiPriority w:val="99"/>
    <w:semiHidden/>
    <w:rsid w:val="008A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739018">
      <w:bodyDiv w:val="1"/>
      <w:marLeft w:val="0"/>
      <w:marRight w:val="0"/>
      <w:marTop w:val="0"/>
      <w:marBottom w:val="0"/>
      <w:divBdr>
        <w:top w:val="none" w:sz="0" w:space="0" w:color="auto"/>
        <w:left w:val="none" w:sz="0" w:space="0" w:color="auto"/>
        <w:bottom w:val="none" w:sz="0" w:space="0" w:color="auto"/>
        <w:right w:val="none" w:sz="0" w:space="0" w:color="auto"/>
      </w:divBdr>
    </w:div>
    <w:div w:id="1209610751">
      <w:bodyDiv w:val="1"/>
      <w:marLeft w:val="0"/>
      <w:marRight w:val="0"/>
      <w:marTop w:val="0"/>
      <w:marBottom w:val="0"/>
      <w:divBdr>
        <w:top w:val="none" w:sz="0" w:space="0" w:color="auto"/>
        <w:left w:val="none" w:sz="0" w:space="0" w:color="auto"/>
        <w:bottom w:val="none" w:sz="0" w:space="0" w:color="auto"/>
        <w:right w:val="none" w:sz="0" w:space="0" w:color="auto"/>
      </w:divBdr>
    </w:div>
    <w:div w:id="1217160752">
      <w:bodyDiv w:val="1"/>
      <w:marLeft w:val="0"/>
      <w:marRight w:val="0"/>
      <w:marTop w:val="0"/>
      <w:marBottom w:val="0"/>
      <w:divBdr>
        <w:top w:val="none" w:sz="0" w:space="0" w:color="auto"/>
        <w:left w:val="none" w:sz="0" w:space="0" w:color="auto"/>
        <w:bottom w:val="none" w:sz="0" w:space="0" w:color="auto"/>
        <w:right w:val="none" w:sz="0" w:space="0" w:color="auto"/>
      </w:divBdr>
    </w:div>
    <w:div w:id="1498301097">
      <w:bodyDiv w:val="1"/>
      <w:marLeft w:val="0"/>
      <w:marRight w:val="0"/>
      <w:marTop w:val="0"/>
      <w:marBottom w:val="0"/>
      <w:divBdr>
        <w:top w:val="none" w:sz="0" w:space="0" w:color="auto"/>
        <w:left w:val="none" w:sz="0" w:space="0" w:color="auto"/>
        <w:bottom w:val="none" w:sz="0" w:space="0" w:color="auto"/>
        <w:right w:val="none" w:sz="0" w:space="0" w:color="auto"/>
      </w:divBdr>
    </w:div>
    <w:div w:id="168181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0C44E-FF19-4261-8FA9-34FFD459C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6</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luoyiling_ai</dc:creator>
  <cp:keywords/>
  <dc:description/>
  <cp:lastModifiedBy>罗依灵</cp:lastModifiedBy>
  <cp:revision>87</cp:revision>
  <cp:lastPrinted>2017-09-08T08:30:00Z</cp:lastPrinted>
  <dcterms:created xsi:type="dcterms:W3CDTF">2019-09-18T05:57:00Z</dcterms:created>
  <dcterms:modified xsi:type="dcterms:W3CDTF">2026-02-04T03:49:00Z</dcterms:modified>
</cp:coreProperties>
</file>