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E21BEB" w:rsidRDefault="00E21BEB">
      <w:pPr>
        <w:spacing w:line="360" w:lineRule="auto"/>
        <w:jc w:val="center"/>
        <w:rPr>
          <w:rFonts w:ascii="黑体" w:eastAsia="黑体" w:hAnsi="黑体"/>
          <w:b/>
          <w:sz w:val="36"/>
        </w:rPr>
      </w:pPr>
      <w:r>
        <w:rPr>
          <w:rFonts w:ascii="黑体" w:eastAsia="黑体" w:hAnsi="黑体" w:hint="eastAsia"/>
          <w:b/>
          <w:sz w:val="36"/>
        </w:rPr>
        <w:t>公开募集证券投资基金核心要素表（被动权益类）</w:t>
      </w:r>
    </w:p>
    <w:p w:rsidR="00E21BEB" w:rsidRDefault="00E21BEB">
      <w:pPr>
        <w:spacing w:line="360" w:lineRule="auto"/>
        <w:jc w:val="center"/>
        <w:rPr>
          <w:rFonts w:ascii="黑体" w:eastAsia="黑体" w:hAnsi="黑体"/>
          <w:b/>
          <w:sz w:val="28"/>
        </w:rPr>
      </w:pP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3"/>
        <w:gridCol w:w="2301"/>
        <w:gridCol w:w="1708"/>
        <w:gridCol w:w="1096"/>
        <w:gridCol w:w="104"/>
        <w:gridCol w:w="1258"/>
        <w:gridCol w:w="1846"/>
      </w:tblGrid>
      <w:tr w:rsidR="00E21BEB" w:rsidTr="008D065E">
        <w:trPr>
          <w:trHeight w:val="20"/>
          <w:jc w:val="center"/>
        </w:trPr>
        <w:tc>
          <w:tcPr>
            <w:tcW w:w="613" w:type="dxa"/>
            <w:vAlign w:val="center"/>
          </w:tcPr>
          <w:p w:rsidR="00E21BEB" w:rsidRDefault="00E21BEB" w:rsidP="004B5BC4">
            <w:pPr>
              <w:spacing w:line="360" w:lineRule="auto"/>
              <w:jc w:val="center"/>
              <w:rPr>
                <w:rFonts w:ascii="宋体" w:hAnsi="宋体"/>
                <w:b/>
                <w:sz w:val="24"/>
              </w:rPr>
            </w:pPr>
            <w:r>
              <w:rPr>
                <w:rFonts w:ascii="宋体" w:hAnsi="宋体" w:hint="eastAsia"/>
                <w:b/>
                <w:sz w:val="24"/>
              </w:rPr>
              <w:t>序号</w:t>
            </w:r>
          </w:p>
        </w:tc>
        <w:tc>
          <w:tcPr>
            <w:tcW w:w="2301" w:type="dxa"/>
            <w:vAlign w:val="center"/>
          </w:tcPr>
          <w:p w:rsidR="00E21BEB" w:rsidRDefault="00E21BEB" w:rsidP="0008400F">
            <w:pPr>
              <w:spacing w:line="360" w:lineRule="auto"/>
              <w:jc w:val="center"/>
              <w:rPr>
                <w:rFonts w:ascii="宋体" w:hAnsi="宋体"/>
                <w:b/>
                <w:sz w:val="24"/>
              </w:rPr>
            </w:pPr>
            <w:r>
              <w:rPr>
                <w:rFonts w:ascii="宋体" w:hAnsi="宋体" w:hint="eastAsia"/>
                <w:b/>
                <w:sz w:val="24"/>
              </w:rPr>
              <w:t>要素</w:t>
            </w:r>
          </w:p>
        </w:tc>
        <w:tc>
          <w:tcPr>
            <w:tcW w:w="6012" w:type="dxa"/>
            <w:gridSpan w:val="5"/>
            <w:vAlign w:val="center"/>
          </w:tcPr>
          <w:p w:rsidR="00E21BEB" w:rsidRDefault="00E21BEB" w:rsidP="0008400F">
            <w:pPr>
              <w:spacing w:line="360" w:lineRule="auto"/>
              <w:jc w:val="center"/>
              <w:rPr>
                <w:rFonts w:ascii="宋体" w:hAnsi="宋体"/>
                <w:b/>
                <w:sz w:val="24"/>
              </w:rPr>
            </w:pPr>
            <w:r>
              <w:rPr>
                <w:rFonts w:ascii="宋体" w:hAnsi="宋体" w:hint="eastAsia"/>
                <w:b/>
                <w:sz w:val="24"/>
              </w:rPr>
              <w:t>内容</w:t>
            </w:r>
          </w:p>
        </w:tc>
      </w:tr>
      <w:tr w:rsidR="00E21BEB" w:rsidTr="008D065E">
        <w:trPr>
          <w:trHeight w:val="20"/>
          <w:jc w:val="center"/>
        </w:trPr>
        <w:tc>
          <w:tcPr>
            <w:tcW w:w="613"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1</w:t>
            </w:r>
          </w:p>
        </w:tc>
        <w:tc>
          <w:tcPr>
            <w:tcW w:w="2301"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是否存在创新属性</w:t>
            </w:r>
          </w:p>
        </w:tc>
        <w:tc>
          <w:tcPr>
            <w:tcW w:w="6012" w:type="dxa"/>
            <w:gridSpan w:val="5"/>
            <w:vAlign w:val="center"/>
          </w:tcPr>
          <w:p w:rsidR="00E21BEB" w:rsidRDefault="00E21BEB" w:rsidP="0008400F">
            <w:pPr>
              <w:spacing w:line="360" w:lineRule="auto"/>
              <w:jc w:val="center"/>
              <w:rPr>
                <w:rFonts w:ascii="仿宋_GB2312" w:eastAsia="仿宋_GB2312" w:hAnsi="仿宋_GB2312"/>
                <w:sz w:val="24"/>
              </w:rPr>
            </w:pPr>
            <w:r>
              <w:rPr>
                <w:rFonts w:ascii="仿宋_GB2312" w:eastAsia="仿宋_GB2312" w:hAnsi="仿宋_GB2312" w:hint="eastAsia"/>
                <w:sz w:val="24"/>
              </w:rPr>
              <w:t>否</w:t>
            </w:r>
          </w:p>
        </w:tc>
      </w:tr>
      <w:tr w:rsidR="00E21BEB" w:rsidTr="008D065E">
        <w:trPr>
          <w:trHeight w:val="20"/>
          <w:jc w:val="center"/>
        </w:trPr>
        <w:tc>
          <w:tcPr>
            <w:tcW w:w="613"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2</w:t>
            </w:r>
          </w:p>
        </w:tc>
        <w:tc>
          <w:tcPr>
            <w:tcW w:w="2301"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基金名称</w:t>
            </w:r>
          </w:p>
        </w:tc>
        <w:tc>
          <w:tcPr>
            <w:tcW w:w="6012" w:type="dxa"/>
            <w:gridSpan w:val="5"/>
            <w:vAlign w:val="center"/>
          </w:tcPr>
          <w:p w:rsidR="00E21BEB" w:rsidRDefault="00E405BD" w:rsidP="00776C89">
            <w:pPr>
              <w:spacing w:line="360" w:lineRule="auto"/>
              <w:rPr>
                <w:rFonts w:ascii="仿宋_GB2312" w:eastAsia="仿宋_GB2312" w:hAnsi="仿宋_GB2312"/>
                <w:sz w:val="24"/>
              </w:rPr>
            </w:pPr>
            <w:r>
              <w:rPr>
                <w:rFonts w:ascii="仿宋_GB2312" w:eastAsia="仿宋_GB2312" w:hAnsi="仿宋_GB2312" w:hint="eastAsia"/>
                <w:sz w:val="24"/>
              </w:rPr>
              <w:t>南方</w:t>
            </w:r>
            <w:r w:rsidR="00D62F43">
              <w:rPr>
                <w:rFonts w:ascii="仿宋_GB2312" w:eastAsia="仿宋_GB2312" w:hAnsi="仿宋_GB2312" w:hint="eastAsia"/>
                <w:sz w:val="24"/>
              </w:rPr>
              <w:t>{{指数名称}}</w:t>
            </w:r>
            <w:r>
              <w:rPr>
                <w:rFonts w:ascii="仿宋_GB2312" w:eastAsia="仿宋_GB2312" w:hAnsi="仿宋_GB2312" w:hint="eastAsia"/>
                <w:sz w:val="24"/>
              </w:rPr>
              <w:t>交易型开放式指数证券投资基金</w:t>
            </w:r>
          </w:p>
        </w:tc>
      </w:tr>
      <w:tr w:rsidR="00E21BEB" w:rsidTr="008D065E">
        <w:trPr>
          <w:trHeight w:val="20"/>
          <w:jc w:val="center"/>
        </w:trPr>
        <w:tc>
          <w:tcPr>
            <w:tcW w:w="613"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3</w:t>
            </w:r>
          </w:p>
        </w:tc>
        <w:tc>
          <w:tcPr>
            <w:tcW w:w="2301"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基金类别</w:t>
            </w:r>
          </w:p>
        </w:tc>
        <w:tc>
          <w:tcPr>
            <w:tcW w:w="6012" w:type="dxa"/>
            <w:gridSpan w:val="5"/>
            <w:vAlign w:val="center"/>
          </w:tcPr>
          <w:p w:rsidR="00E21BEB" w:rsidRDefault="00E21BEB" w:rsidP="0008400F">
            <w:pPr>
              <w:spacing w:line="360" w:lineRule="auto"/>
              <w:jc w:val="center"/>
              <w:rPr>
                <w:rFonts w:ascii="仿宋_GB2312" w:eastAsia="仿宋_GB2312" w:hAnsi="仿宋_GB2312"/>
                <w:sz w:val="24"/>
              </w:rPr>
            </w:pPr>
            <w:r>
              <w:rPr>
                <w:rFonts w:ascii="仿宋_GB2312" w:eastAsia="仿宋_GB2312" w:hAnsi="仿宋_GB2312" w:hint="eastAsia"/>
                <w:sz w:val="24"/>
              </w:rPr>
              <w:t>被动权益（股票ETF）</w:t>
            </w:r>
          </w:p>
        </w:tc>
      </w:tr>
      <w:tr w:rsidR="00E21BEB" w:rsidTr="008D065E">
        <w:trPr>
          <w:trHeight w:val="20"/>
          <w:jc w:val="center"/>
        </w:trPr>
        <w:tc>
          <w:tcPr>
            <w:tcW w:w="613"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4</w:t>
            </w:r>
          </w:p>
        </w:tc>
        <w:tc>
          <w:tcPr>
            <w:tcW w:w="2301"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运作方式</w:t>
            </w:r>
          </w:p>
        </w:tc>
        <w:tc>
          <w:tcPr>
            <w:tcW w:w="6012" w:type="dxa"/>
            <w:gridSpan w:val="5"/>
            <w:vAlign w:val="center"/>
          </w:tcPr>
          <w:p w:rsidR="00E21BEB" w:rsidRDefault="00E21BEB" w:rsidP="004B5BC4">
            <w:pPr>
              <w:spacing w:line="360" w:lineRule="auto"/>
              <w:jc w:val="center"/>
              <w:rPr>
                <w:rFonts w:ascii="仿宋_GB2312" w:eastAsia="仿宋_GB2312" w:hAnsi="仿宋_GB2312"/>
                <w:sz w:val="24"/>
              </w:rPr>
            </w:pPr>
            <w:r>
              <w:rPr>
                <w:rFonts w:ascii="仿宋_GB2312" w:eastAsia="仿宋_GB2312" w:hAnsi="仿宋_GB2312" w:hint="eastAsia"/>
                <w:sz w:val="24"/>
              </w:rPr>
              <w:t>开放式</w:t>
            </w:r>
          </w:p>
        </w:tc>
      </w:tr>
      <w:tr w:rsidR="00E21BEB" w:rsidTr="008D065E">
        <w:trPr>
          <w:trHeight w:val="20"/>
          <w:jc w:val="center"/>
        </w:trPr>
        <w:tc>
          <w:tcPr>
            <w:tcW w:w="613"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5</w:t>
            </w:r>
          </w:p>
        </w:tc>
        <w:tc>
          <w:tcPr>
            <w:tcW w:w="2301"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管理人</w:t>
            </w:r>
          </w:p>
        </w:tc>
        <w:tc>
          <w:tcPr>
            <w:tcW w:w="6012" w:type="dxa"/>
            <w:gridSpan w:val="5"/>
            <w:vAlign w:val="center"/>
          </w:tcPr>
          <w:p w:rsidR="00E21BEB" w:rsidRDefault="00A2100E" w:rsidP="004B5BC4">
            <w:pPr>
              <w:spacing w:line="360" w:lineRule="auto"/>
              <w:jc w:val="center"/>
              <w:rPr>
                <w:rFonts w:ascii="仿宋_GB2312" w:eastAsia="仿宋_GB2312" w:hAnsi="仿宋_GB2312"/>
                <w:sz w:val="24"/>
              </w:rPr>
            </w:pPr>
            <w:r w:rsidRPr="00A2100E">
              <w:rPr>
                <w:rFonts w:ascii="仿宋_GB2312" w:eastAsia="仿宋_GB2312" w:hAnsi="仿宋_GB2312" w:hint="eastAsia"/>
                <w:sz w:val="24"/>
              </w:rPr>
              <w:t>南方基金管理股份有限公司</w:t>
            </w:r>
          </w:p>
        </w:tc>
      </w:tr>
      <w:tr w:rsidR="00E21BEB" w:rsidTr="008D065E">
        <w:trPr>
          <w:trHeight w:val="20"/>
          <w:jc w:val="center"/>
        </w:trPr>
        <w:tc>
          <w:tcPr>
            <w:tcW w:w="613"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6</w:t>
            </w:r>
          </w:p>
        </w:tc>
        <w:tc>
          <w:tcPr>
            <w:tcW w:w="2301"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托管人</w:t>
            </w:r>
          </w:p>
        </w:tc>
        <w:tc>
          <w:tcPr>
            <w:tcW w:w="6012" w:type="dxa"/>
            <w:gridSpan w:val="5"/>
            <w:vAlign w:val="center"/>
          </w:tcPr>
          <w:p w:rsidR="00E21BEB" w:rsidRDefault="00D62F43" w:rsidP="00645B80">
            <w:pPr>
              <w:spacing w:line="360" w:lineRule="auto"/>
              <w:jc w:val="center"/>
              <w:rPr>
                <w:rFonts w:ascii="仿宋_GB2312" w:eastAsia="仿宋_GB2312" w:hAnsi="仿宋_GB2312"/>
                <w:sz w:val="24"/>
              </w:rPr>
            </w:pPr>
            <w:r>
              <w:rPr>
                <w:rFonts w:ascii="仿宋_GB2312" w:eastAsia="仿宋_GB2312" w:hAnsi="仿宋_GB2312" w:hint="eastAsia"/>
                <w:sz w:val="24"/>
              </w:rPr>
              <w:t>{{托管人名称}}</w:t>
            </w:r>
          </w:p>
        </w:tc>
      </w:tr>
      <w:tr w:rsidR="00E21BEB" w:rsidTr="008D065E">
        <w:trPr>
          <w:trHeight w:val="20"/>
          <w:jc w:val="center"/>
        </w:trPr>
        <w:tc>
          <w:tcPr>
            <w:tcW w:w="613"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7</w:t>
            </w:r>
          </w:p>
        </w:tc>
        <w:tc>
          <w:tcPr>
            <w:tcW w:w="2301"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投资目标</w:t>
            </w:r>
          </w:p>
        </w:tc>
        <w:tc>
          <w:tcPr>
            <w:tcW w:w="6012" w:type="dxa"/>
            <w:gridSpan w:val="5"/>
            <w:vAlign w:val="center"/>
          </w:tcPr>
          <w:p w:rsidR="00E21BEB" w:rsidRDefault="00FD03BC" w:rsidP="00834C7B">
            <w:pPr>
              <w:spacing w:line="360" w:lineRule="auto"/>
              <w:rPr>
                <w:rFonts w:ascii="仿宋_GB2312" w:eastAsia="仿宋_GB2312" w:hAnsi="仿宋_GB2312"/>
                <w:sz w:val="24"/>
              </w:rPr>
            </w:pPr>
            <w:r w:rsidRPr="00FD03BC">
              <w:rPr>
                <w:rFonts w:ascii="仿宋_GB2312" w:eastAsia="仿宋_GB2312" w:hAnsi="仿宋_GB2312" w:hint="eastAsia"/>
                <w:sz w:val="24"/>
              </w:rPr>
              <w:t>紧密跟踪标的指数，追求跟踪偏离度和跟踪误差最小化。</w:t>
            </w:r>
          </w:p>
        </w:tc>
      </w:tr>
      <w:tr w:rsidR="00E21BEB" w:rsidTr="008D065E">
        <w:trPr>
          <w:trHeight w:val="20"/>
          <w:jc w:val="center"/>
        </w:trPr>
        <w:tc>
          <w:tcPr>
            <w:tcW w:w="613" w:type="dxa"/>
            <w:vAlign w:val="center"/>
          </w:tcPr>
          <w:p w:rsidR="00E21BEB" w:rsidRDefault="00E21BEB" w:rsidP="0008400F">
            <w:pPr>
              <w:spacing w:line="360" w:lineRule="auto"/>
              <w:jc w:val="center"/>
              <w:rPr>
                <w:rFonts w:ascii="仿宋_GB2312" w:eastAsia="仿宋_GB2312" w:hAnsi="仿宋_GB2312"/>
                <w:b/>
                <w:sz w:val="24"/>
              </w:rPr>
            </w:pPr>
            <w:bookmarkStart w:id="0" w:name="_Hlk131171302"/>
            <w:r>
              <w:rPr>
                <w:rFonts w:ascii="仿宋_GB2312" w:eastAsia="仿宋_GB2312" w:hAnsi="仿宋_GB2312" w:hint="eastAsia"/>
                <w:b/>
                <w:sz w:val="24"/>
              </w:rPr>
              <w:t>8</w:t>
            </w:r>
          </w:p>
        </w:tc>
        <w:tc>
          <w:tcPr>
            <w:tcW w:w="2301"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投资范围</w:t>
            </w:r>
          </w:p>
        </w:tc>
        <w:tc>
          <w:tcPr>
            <w:tcW w:w="6012" w:type="dxa"/>
            <w:gridSpan w:val="5"/>
            <w:vAlign w:val="center"/>
          </w:tcPr>
          <w:p w:rsidR="00235708" w:rsidRPr="00235708" w:rsidRDefault="00235708" w:rsidP="00235708">
            <w:pPr>
              <w:spacing w:line="360" w:lineRule="auto"/>
              <w:rPr>
                <w:rFonts w:ascii="仿宋_GB2312" w:eastAsia="仿宋_GB2312" w:hAnsi="仿宋_GB2312"/>
                <w:sz w:val="24"/>
              </w:rPr>
            </w:pPr>
            <w:r w:rsidRPr="00235708">
              <w:rPr>
                <w:rFonts w:ascii="仿宋_GB2312" w:eastAsia="仿宋_GB2312" w:hAnsi="仿宋_GB2312" w:hint="eastAsia"/>
                <w:sz w:val="24"/>
              </w:rPr>
              <w:t>本基金主要投资于标的指数成份股、备选成份股（</w:t>
            </w:r>
            <w:proofErr w:type="gramStart"/>
            <w:r w:rsidRPr="00235708">
              <w:rPr>
                <w:rFonts w:ascii="仿宋_GB2312" w:eastAsia="仿宋_GB2312" w:hAnsi="仿宋_GB2312" w:hint="eastAsia"/>
                <w:sz w:val="24"/>
              </w:rPr>
              <w:t>含存托</w:t>
            </w:r>
            <w:proofErr w:type="gramEnd"/>
            <w:r w:rsidRPr="00235708">
              <w:rPr>
                <w:rFonts w:ascii="仿宋_GB2312" w:eastAsia="仿宋_GB2312" w:hAnsi="仿宋_GB2312" w:hint="eastAsia"/>
                <w:sz w:val="24"/>
              </w:rPr>
              <w:t>凭证）。为更好地实现投资目标，本基金可少量投资于非成份股（包含主板、</w:t>
            </w:r>
            <w:proofErr w:type="gramStart"/>
            <w:r w:rsidRPr="00235708">
              <w:rPr>
                <w:rFonts w:ascii="仿宋_GB2312" w:eastAsia="仿宋_GB2312" w:hAnsi="仿宋_GB2312" w:hint="eastAsia"/>
                <w:sz w:val="24"/>
              </w:rPr>
              <w:t>科创板</w:t>
            </w:r>
            <w:proofErr w:type="gramEnd"/>
            <w:r w:rsidRPr="00235708">
              <w:rPr>
                <w:rFonts w:ascii="仿宋_GB2312" w:eastAsia="仿宋_GB2312" w:hAnsi="仿宋_GB2312" w:hint="eastAsia"/>
                <w:sz w:val="24"/>
              </w:rPr>
              <w:t>、创业板及其他经中国证监会核准或注册发行的股票、存托凭证）、金融衍生品（股指期货、股票期权等）、债券（包括国债、金融债、企业债、公司债、政府机构债券、地方政府债券、次级债、可转换债券、可交换债券、央行票据、中期票据、短期融资</w:t>
            </w:r>
            <w:proofErr w:type="gramStart"/>
            <w:r w:rsidRPr="00235708">
              <w:rPr>
                <w:rFonts w:ascii="仿宋_GB2312" w:eastAsia="仿宋_GB2312" w:hAnsi="仿宋_GB2312" w:hint="eastAsia"/>
                <w:sz w:val="24"/>
              </w:rPr>
              <w:t>券</w:t>
            </w:r>
            <w:proofErr w:type="gramEnd"/>
            <w:r w:rsidRPr="00235708">
              <w:rPr>
                <w:rFonts w:ascii="仿宋_GB2312" w:eastAsia="仿宋_GB2312" w:hAnsi="仿宋_GB2312" w:hint="eastAsia"/>
                <w:sz w:val="24"/>
              </w:rPr>
              <w:t>、超短期融资</w:t>
            </w:r>
            <w:proofErr w:type="gramStart"/>
            <w:r w:rsidRPr="00235708">
              <w:rPr>
                <w:rFonts w:ascii="仿宋_GB2312" w:eastAsia="仿宋_GB2312" w:hAnsi="仿宋_GB2312" w:hint="eastAsia"/>
                <w:sz w:val="24"/>
              </w:rPr>
              <w:t>券</w:t>
            </w:r>
            <w:proofErr w:type="gramEnd"/>
            <w:r w:rsidRPr="00235708">
              <w:rPr>
                <w:rFonts w:ascii="仿宋_GB2312" w:eastAsia="仿宋_GB2312" w:hAnsi="仿宋_GB2312" w:hint="eastAsia"/>
                <w:sz w:val="24"/>
              </w:rPr>
              <w:t>等）、资产支持证券、债券回购、银行存款（包括协议存款、定期存款及其他银行存款）、同业存单、货币市场工具以及中国证监会允许基金投资的其他金融工具（但须符合中国证监会的相关规定）。</w:t>
            </w:r>
          </w:p>
          <w:p w:rsidR="00235708" w:rsidRPr="00235708" w:rsidRDefault="00235708" w:rsidP="00235708">
            <w:pPr>
              <w:spacing w:line="360" w:lineRule="auto"/>
              <w:rPr>
                <w:rFonts w:ascii="仿宋_GB2312" w:eastAsia="仿宋_GB2312" w:hAnsi="仿宋_GB2312"/>
                <w:sz w:val="24"/>
              </w:rPr>
            </w:pPr>
            <w:r w:rsidRPr="00235708">
              <w:rPr>
                <w:rFonts w:ascii="仿宋_GB2312" w:eastAsia="仿宋_GB2312" w:hAnsi="仿宋_GB2312" w:hint="eastAsia"/>
                <w:sz w:val="24"/>
              </w:rPr>
              <w:t>本基金根据相关规定可参与融资、转融通证券出借业务。</w:t>
            </w:r>
          </w:p>
          <w:p w:rsidR="00E21BEB" w:rsidRDefault="00235708" w:rsidP="00235708">
            <w:pPr>
              <w:spacing w:line="360" w:lineRule="auto"/>
              <w:rPr>
                <w:rFonts w:ascii="仿宋_GB2312" w:eastAsia="仿宋_GB2312" w:hAnsi="仿宋_GB2312"/>
                <w:sz w:val="24"/>
              </w:rPr>
            </w:pPr>
            <w:r w:rsidRPr="00235708">
              <w:rPr>
                <w:rFonts w:ascii="仿宋_GB2312" w:eastAsia="仿宋_GB2312" w:hAnsi="仿宋_GB2312" w:hint="eastAsia"/>
                <w:sz w:val="24"/>
              </w:rPr>
              <w:t>如法律法规或监管机构以后允许基金投资其他品种，基金管理人在履行适当程序后，可以将其纳入投资范围。</w:t>
            </w:r>
          </w:p>
        </w:tc>
      </w:tr>
      <w:tr w:rsidR="00E21BEB" w:rsidTr="008D065E">
        <w:trPr>
          <w:trHeight w:val="20"/>
          <w:jc w:val="center"/>
        </w:trPr>
        <w:tc>
          <w:tcPr>
            <w:tcW w:w="613"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9</w:t>
            </w:r>
          </w:p>
        </w:tc>
        <w:tc>
          <w:tcPr>
            <w:tcW w:w="2301"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投资比例</w:t>
            </w:r>
          </w:p>
        </w:tc>
        <w:tc>
          <w:tcPr>
            <w:tcW w:w="6012" w:type="dxa"/>
            <w:gridSpan w:val="5"/>
            <w:vAlign w:val="center"/>
          </w:tcPr>
          <w:p w:rsidR="00321864" w:rsidRPr="00321864" w:rsidRDefault="00321864" w:rsidP="00321864">
            <w:pPr>
              <w:spacing w:line="360" w:lineRule="auto"/>
              <w:rPr>
                <w:rFonts w:ascii="仿宋_GB2312" w:eastAsia="仿宋_GB2312" w:hAnsi="仿宋_GB2312"/>
                <w:sz w:val="24"/>
              </w:rPr>
            </w:pPr>
            <w:r w:rsidRPr="00321864">
              <w:rPr>
                <w:rFonts w:ascii="仿宋_GB2312" w:eastAsia="仿宋_GB2312" w:hAnsi="仿宋_GB2312" w:hint="eastAsia"/>
                <w:sz w:val="24"/>
              </w:rPr>
              <w:t>在建仓完成后，本基金投资于标的指数成份股、备选成份股的资产比例不低于基金资产净值的90%，且不低于非现金基金资产的80%</w:t>
            </w:r>
            <w:r w:rsidR="00FC6D6A" w:rsidRPr="00FC6D6A">
              <w:rPr>
                <w:rFonts w:ascii="仿宋_GB2312" w:eastAsia="仿宋_GB2312" w:hAnsi="仿宋_GB2312" w:hint="eastAsia"/>
                <w:sz w:val="24"/>
              </w:rPr>
              <w:t>，因法律法规的规定而受限制的</w:t>
            </w:r>
            <w:r w:rsidR="00FC6D6A" w:rsidRPr="00FC6D6A">
              <w:rPr>
                <w:rFonts w:ascii="仿宋_GB2312" w:eastAsia="仿宋_GB2312" w:hAnsi="仿宋_GB2312" w:hint="eastAsia"/>
                <w:sz w:val="24"/>
              </w:rPr>
              <w:lastRenderedPageBreak/>
              <w:t>情形除外。</w:t>
            </w:r>
          </w:p>
          <w:p w:rsidR="00E21BEB" w:rsidRDefault="00321864" w:rsidP="00321864">
            <w:pPr>
              <w:spacing w:line="360" w:lineRule="auto"/>
              <w:rPr>
                <w:rFonts w:ascii="仿宋_GB2312" w:eastAsia="仿宋_GB2312" w:hAnsi="仿宋_GB2312"/>
                <w:sz w:val="24"/>
              </w:rPr>
            </w:pPr>
            <w:r w:rsidRPr="00321864">
              <w:rPr>
                <w:rFonts w:ascii="仿宋_GB2312" w:eastAsia="仿宋_GB2312" w:hAnsi="仿宋_GB2312" w:hint="eastAsia"/>
                <w:sz w:val="24"/>
              </w:rPr>
              <w:t>如法律法规或监管机构变更投资品种的投资比例限制，基金管理人在履行适当程序后，可以调整上述投资品种的投资比例。</w:t>
            </w:r>
          </w:p>
        </w:tc>
      </w:tr>
      <w:tr w:rsidR="00E21BEB" w:rsidTr="008D065E">
        <w:trPr>
          <w:trHeight w:val="20"/>
          <w:jc w:val="center"/>
        </w:trPr>
        <w:tc>
          <w:tcPr>
            <w:tcW w:w="613"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lastRenderedPageBreak/>
              <w:t>10</w:t>
            </w:r>
          </w:p>
        </w:tc>
        <w:tc>
          <w:tcPr>
            <w:tcW w:w="2301"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主要投资策略</w:t>
            </w:r>
          </w:p>
        </w:tc>
        <w:tc>
          <w:tcPr>
            <w:tcW w:w="6012" w:type="dxa"/>
            <w:gridSpan w:val="5"/>
            <w:vAlign w:val="center"/>
          </w:tcPr>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本基金主要采用完全复制策略、替代策略及其他适当的策略以更好的跟踪标的指数，实现基金投资目标。本基金力争日均跟踪偏离度的绝对值不超过0.2%，年跟踪误差不超过2%。</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1、完全复制策略</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本基金为被动式指数基金，采用完全复制法，按照成份股在标的指数中的基准权重</w:t>
            </w:r>
            <w:proofErr w:type="gramStart"/>
            <w:r w:rsidRPr="009C2F04">
              <w:rPr>
                <w:rFonts w:ascii="仿宋_GB2312" w:eastAsia="仿宋_GB2312" w:hAnsi="仿宋_GB2312" w:hint="eastAsia"/>
                <w:sz w:val="24"/>
              </w:rPr>
              <w:t>构建指数化投资</w:t>
            </w:r>
            <w:proofErr w:type="gramEnd"/>
            <w:r w:rsidRPr="009C2F04">
              <w:rPr>
                <w:rFonts w:ascii="仿宋_GB2312" w:eastAsia="仿宋_GB2312" w:hAnsi="仿宋_GB2312" w:hint="eastAsia"/>
                <w:sz w:val="24"/>
              </w:rPr>
              <w:t>组合，并根据标的指数成份股及其权重的变化进行相应调整。</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2、替代策略</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当预期成份股发生调整和成份股发生配股、增发、分红等行为时，或因基金的申购和赎回等对本基金跟踪标的指数的效果可能带来影响时，或因某些特殊情况导致无法有效复制和跟踪标的指数时，基金管理人可以对投资组合管理进行适当变通和调整，通过投资成份股、非成份股、成份股个股衍生品等进行替代从而使得投资组合紧密地跟踪标的指数。</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特殊情况包括但不限于以下情形：（1）法律法规的限制无法投资某只成份股；（2）成份股流动性严重不足；（3）成份股票长期停牌；（4）其他合理原因导致本基金管理人对标的指数的跟踪构成严重制约等。</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3、金融衍生</w:t>
            </w:r>
            <w:proofErr w:type="gramStart"/>
            <w:r w:rsidRPr="009C2F04">
              <w:rPr>
                <w:rFonts w:ascii="仿宋_GB2312" w:eastAsia="仿宋_GB2312" w:hAnsi="仿宋_GB2312" w:hint="eastAsia"/>
                <w:sz w:val="24"/>
              </w:rPr>
              <w:t>品投资</w:t>
            </w:r>
            <w:proofErr w:type="gramEnd"/>
            <w:r w:rsidRPr="009C2F04">
              <w:rPr>
                <w:rFonts w:ascii="仿宋_GB2312" w:eastAsia="仿宋_GB2312" w:hAnsi="仿宋_GB2312" w:hint="eastAsia"/>
                <w:sz w:val="24"/>
              </w:rPr>
              <w:t>策略</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为更好地实现投资目标，本基金可投资股指期货、股票期权和其他经中国证监会允许的</w:t>
            </w:r>
            <w:r w:rsidR="00FC6D6A">
              <w:rPr>
                <w:rFonts w:ascii="仿宋_GB2312" w:eastAsia="仿宋_GB2312" w:hAnsi="仿宋_GB2312" w:hint="eastAsia"/>
                <w:sz w:val="24"/>
              </w:rPr>
              <w:t>金融衍生品</w:t>
            </w:r>
            <w:r w:rsidRPr="009C2F04">
              <w:rPr>
                <w:rFonts w:ascii="仿宋_GB2312" w:eastAsia="仿宋_GB2312" w:hAnsi="仿宋_GB2312" w:hint="eastAsia"/>
                <w:sz w:val="24"/>
              </w:rPr>
              <w:t>，如与标的指数或标的指数成份股、备选成份</w:t>
            </w:r>
            <w:proofErr w:type="gramStart"/>
            <w:r w:rsidRPr="009C2F04">
              <w:rPr>
                <w:rFonts w:ascii="仿宋_GB2312" w:eastAsia="仿宋_GB2312" w:hAnsi="仿宋_GB2312" w:hint="eastAsia"/>
                <w:sz w:val="24"/>
              </w:rPr>
              <w:t>股相关</w:t>
            </w:r>
            <w:proofErr w:type="gramEnd"/>
            <w:r w:rsidRPr="009C2F04">
              <w:rPr>
                <w:rFonts w:ascii="仿宋_GB2312" w:eastAsia="仿宋_GB2312" w:hAnsi="仿宋_GB2312" w:hint="eastAsia"/>
                <w:sz w:val="24"/>
              </w:rPr>
              <w:t>的衍生工具。本基金将根据风险管理的原则，主要选择流动性好、交</w:t>
            </w:r>
            <w:r w:rsidRPr="009C2F04">
              <w:rPr>
                <w:rFonts w:ascii="仿宋_GB2312" w:eastAsia="仿宋_GB2312" w:hAnsi="仿宋_GB2312" w:hint="eastAsia"/>
                <w:sz w:val="24"/>
              </w:rPr>
              <w:lastRenderedPageBreak/>
              <w:t>易活跃的衍生品合约进行交易。</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（1）股指期货投资策略</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本基金投资股指期货将根据风险管理的原则，以套期保值为目的，主要选择流动性好、交易活跃的股指期货合约。本基金力争利用股指期货，降低股票</w:t>
            </w:r>
            <w:proofErr w:type="gramStart"/>
            <w:r w:rsidRPr="009C2F04">
              <w:rPr>
                <w:rFonts w:ascii="仿宋_GB2312" w:eastAsia="仿宋_GB2312" w:hAnsi="仿宋_GB2312" w:hint="eastAsia"/>
                <w:sz w:val="24"/>
              </w:rPr>
              <w:t>仓位</w:t>
            </w:r>
            <w:proofErr w:type="gramEnd"/>
            <w:r w:rsidRPr="009C2F04">
              <w:rPr>
                <w:rFonts w:ascii="仿宋_GB2312" w:eastAsia="仿宋_GB2312" w:hAnsi="仿宋_GB2312" w:hint="eastAsia"/>
                <w:sz w:val="24"/>
              </w:rPr>
              <w:t>频繁调整的交易成本和跟踪误差，达到有效跟踪标的指数的目的。</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（2）股票期权投资策略</w:t>
            </w:r>
          </w:p>
          <w:p w:rsid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本基金投资股票期权，将根据风险管理的原则，以套期保值为目的，充分考虑股票期权的流动性和风险收益特征。</w:t>
            </w:r>
          </w:p>
          <w:p w:rsidR="00E15ED0" w:rsidRPr="009C2F04" w:rsidRDefault="00E15ED0" w:rsidP="009C2F04">
            <w:pPr>
              <w:spacing w:line="360" w:lineRule="auto"/>
              <w:rPr>
                <w:rFonts w:ascii="仿宋_GB2312" w:eastAsia="仿宋_GB2312" w:hAnsi="仿宋_GB2312"/>
                <w:sz w:val="24"/>
              </w:rPr>
            </w:pPr>
            <w:r w:rsidRPr="00E15ED0">
              <w:rPr>
                <w:rFonts w:ascii="仿宋_GB2312" w:eastAsia="仿宋_GB2312" w:hAnsi="仿宋_GB2312" w:hint="eastAsia"/>
                <w:sz w:val="24"/>
              </w:rPr>
              <w:t>待基金参与股指期权或其他期权品种的相关规定颁布后，基金管理人可以在不改变本基金既有投资策略和风险收益特征并有效控制风险的前提下，参与该类业务，以提高投资效率及进行风险管理。届时，基金参与股指期权或其他期权品种的风险控制原则、具体参与比例限制、费用收支、信息披露、估值方法及其他相关事项，将按照中国证监会的规定及其他相关法律法规的要求执行，在对基金份额持有人利益无实质性</w:t>
            </w:r>
            <w:r>
              <w:rPr>
                <w:rFonts w:ascii="仿宋_GB2312" w:eastAsia="仿宋_GB2312" w:hAnsi="仿宋_GB2312" w:hint="eastAsia"/>
                <w:sz w:val="24"/>
              </w:rPr>
              <w:t>不利</w:t>
            </w:r>
            <w:r w:rsidRPr="00E15ED0">
              <w:rPr>
                <w:rFonts w:ascii="仿宋_GB2312" w:eastAsia="仿宋_GB2312" w:hAnsi="仿宋_GB2312" w:hint="eastAsia"/>
                <w:sz w:val="24"/>
              </w:rPr>
              <w:t>影响的情况下，无需召开基金份额持有人大会。</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4、债券投资策略</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结合对未来市场利率预期运用</w:t>
            </w:r>
            <w:proofErr w:type="gramStart"/>
            <w:r w:rsidRPr="009C2F04">
              <w:rPr>
                <w:rFonts w:ascii="仿宋_GB2312" w:eastAsia="仿宋_GB2312" w:hAnsi="仿宋_GB2312" w:hint="eastAsia"/>
                <w:sz w:val="24"/>
              </w:rPr>
              <w:t>久期调整</w:t>
            </w:r>
            <w:proofErr w:type="gramEnd"/>
            <w:r w:rsidRPr="009C2F04">
              <w:rPr>
                <w:rFonts w:ascii="仿宋_GB2312" w:eastAsia="仿宋_GB2312" w:hAnsi="仿宋_GB2312" w:hint="eastAsia"/>
                <w:sz w:val="24"/>
              </w:rPr>
              <w:t>策略、收益率曲线配置策略、债券类属配置策略、利差轮动策略等多种积极管理策略，通过严谨的研究发现价值被低估的债券和市场投资机会，构建收益稳定、流动性良好的债券组合。</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5、可转换债券及可交换债券投资策略</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本基金在可转换债券和可交换债券投资中预期运用</w:t>
            </w:r>
            <w:proofErr w:type="gramStart"/>
            <w:r w:rsidRPr="009C2F04">
              <w:rPr>
                <w:rFonts w:ascii="仿宋_GB2312" w:eastAsia="仿宋_GB2312" w:hAnsi="仿宋_GB2312" w:hint="eastAsia"/>
                <w:sz w:val="24"/>
              </w:rPr>
              <w:t>仓位</w:t>
            </w:r>
            <w:proofErr w:type="gramEnd"/>
            <w:r w:rsidRPr="009C2F04">
              <w:rPr>
                <w:rFonts w:ascii="仿宋_GB2312" w:eastAsia="仿宋_GB2312" w:hAnsi="仿宋_GB2312" w:hint="eastAsia"/>
                <w:sz w:val="24"/>
              </w:rPr>
              <w:t>策略、类属策略、</w:t>
            </w:r>
            <w:proofErr w:type="gramStart"/>
            <w:r w:rsidRPr="009C2F04">
              <w:rPr>
                <w:rFonts w:ascii="仿宋_GB2312" w:eastAsia="仿宋_GB2312" w:hAnsi="仿宋_GB2312" w:hint="eastAsia"/>
                <w:sz w:val="24"/>
              </w:rPr>
              <w:t>个券</w:t>
            </w:r>
            <w:proofErr w:type="gramEnd"/>
            <w:r w:rsidRPr="009C2F04">
              <w:rPr>
                <w:rFonts w:ascii="仿宋_GB2312" w:eastAsia="仿宋_GB2312" w:hAnsi="仿宋_GB2312" w:hint="eastAsia"/>
                <w:sz w:val="24"/>
              </w:rPr>
              <w:t>挖掘策略、条款价值策略、行权套利策略等多种策略，构建风险收益比佳、基本面稳健</w:t>
            </w:r>
            <w:r w:rsidRPr="009C2F04">
              <w:rPr>
                <w:rFonts w:ascii="仿宋_GB2312" w:eastAsia="仿宋_GB2312" w:hAnsi="仿宋_GB2312" w:hint="eastAsia"/>
                <w:sz w:val="24"/>
              </w:rPr>
              <w:lastRenderedPageBreak/>
              <w:t>的组合。其中</w:t>
            </w:r>
            <w:proofErr w:type="gramStart"/>
            <w:r w:rsidRPr="009C2F04">
              <w:rPr>
                <w:rFonts w:ascii="仿宋_GB2312" w:eastAsia="仿宋_GB2312" w:hAnsi="仿宋_GB2312" w:hint="eastAsia"/>
                <w:sz w:val="24"/>
              </w:rPr>
              <w:t>仓位</w:t>
            </w:r>
            <w:proofErr w:type="gramEnd"/>
            <w:r w:rsidRPr="009C2F04">
              <w:rPr>
                <w:rFonts w:ascii="仿宋_GB2312" w:eastAsia="仿宋_GB2312" w:hAnsi="仿宋_GB2312" w:hint="eastAsia"/>
                <w:sz w:val="24"/>
              </w:rPr>
              <w:t>策略和类属策略，将根据基本面环境、</w:t>
            </w:r>
            <w:proofErr w:type="gramStart"/>
            <w:r w:rsidRPr="009C2F04">
              <w:rPr>
                <w:rFonts w:ascii="仿宋_GB2312" w:eastAsia="仿宋_GB2312" w:hAnsi="仿宋_GB2312" w:hint="eastAsia"/>
                <w:sz w:val="24"/>
              </w:rPr>
              <w:t>股债性价</w:t>
            </w:r>
            <w:proofErr w:type="gramEnd"/>
            <w:r w:rsidRPr="009C2F04">
              <w:rPr>
                <w:rFonts w:ascii="仿宋_GB2312" w:eastAsia="仿宋_GB2312" w:hAnsi="仿宋_GB2312" w:hint="eastAsia"/>
                <w:sz w:val="24"/>
              </w:rPr>
              <w:t>比，确定整体</w:t>
            </w:r>
            <w:proofErr w:type="gramStart"/>
            <w:r w:rsidRPr="009C2F04">
              <w:rPr>
                <w:rFonts w:ascii="仿宋_GB2312" w:eastAsia="仿宋_GB2312" w:hAnsi="仿宋_GB2312" w:hint="eastAsia"/>
                <w:sz w:val="24"/>
              </w:rPr>
              <w:t>仓位</w:t>
            </w:r>
            <w:proofErr w:type="gramEnd"/>
            <w:r w:rsidRPr="009C2F04">
              <w:rPr>
                <w:rFonts w:ascii="仿宋_GB2312" w:eastAsia="仿宋_GB2312" w:hAnsi="仿宋_GB2312" w:hint="eastAsia"/>
                <w:sz w:val="24"/>
              </w:rPr>
              <w:t>水平、</w:t>
            </w:r>
            <w:proofErr w:type="gramStart"/>
            <w:r w:rsidRPr="009C2F04">
              <w:rPr>
                <w:rFonts w:ascii="仿宋_GB2312" w:eastAsia="仿宋_GB2312" w:hAnsi="仿宋_GB2312" w:hint="eastAsia"/>
                <w:sz w:val="24"/>
              </w:rPr>
              <w:t>偏股型和偏债型可转债占</w:t>
            </w:r>
            <w:proofErr w:type="gramEnd"/>
            <w:r w:rsidRPr="009C2F04">
              <w:rPr>
                <w:rFonts w:ascii="仿宋_GB2312" w:eastAsia="仿宋_GB2312" w:hAnsi="仿宋_GB2312" w:hint="eastAsia"/>
                <w:sz w:val="24"/>
              </w:rPr>
              <w:t>比。</w:t>
            </w:r>
            <w:proofErr w:type="gramStart"/>
            <w:r w:rsidRPr="009C2F04">
              <w:rPr>
                <w:rFonts w:ascii="仿宋_GB2312" w:eastAsia="仿宋_GB2312" w:hAnsi="仿宋_GB2312" w:hint="eastAsia"/>
                <w:sz w:val="24"/>
              </w:rPr>
              <w:t>个券</w:t>
            </w:r>
            <w:proofErr w:type="gramEnd"/>
            <w:r w:rsidRPr="009C2F04">
              <w:rPr>
                <w:rFonts w:ascii="仿宋_GB2312" w:eastAsia="仿宋_GB2312" w:hAnsi="仿宋_GB2312" w:hint="eastAsia"/>
                <w:sz w:val="24"/>
              </w:rPr>
              <w:t>挖掘策略，从基本面视角来挖掘可转债的机会，选择基本面景气向上、估值不高的</w:t>
            </w:r>
            <w:proofErr w:type="gramStart"/>
            <w:r w:rsidRPr="009C2F04">
              <w:rPr>
                <w:rFonts w:ascii="仿宋_GB2312" w:eastAsia="仿宋_GB2312" w:hAnsi="仿宋_GB2312" w:hint="eastAsia"/>
                <w:sz w:val="24"/>
              </w:rPr>
              <w:t>偏股型转</w:t>
            </w:r>
            <w:proofErr w:type="gramEnd"/>
            <w:r w:rsidRPr="009C2F04">
              <w:rPr>
                <w:rFonts w:ascii="仿宋_GB2312" w:eastAsia="仿宋_GB2312" w:hAnsi="仿宋_GB2312" w:hint="eastAsia"/>
                <w:sz w:val="24"/>
              </w:rPr>
              <w:t>债作为获取超额收益的品种。条款价值策略，即深入分析修正转股价条款、回售条款和赎回条款等对转</w:t>
            </w:r>
            <w:proofErr w:type="gramStart"/>
            <w:r w:rsidRPr="009C2F04">
              <w:rPr>
                <w:rFonts w:ascii="仿宋_GB2312" w:eastAsia="仿宋_GB2312" w:hAnsi="仿宋_GB2312" w:hint="eastAsia"/>
                <w:sz w:val="24"/>
              </w:rPr>
              <w:t>债价值</w:t>
            </w:r>
            <w:proofErr w:type="gramEnd"/>
            <w:r w:rsidRPr="009C2F04">
              <w:rPr>
                <w:rFonts w:ascii="仿宋_GB2312" w:eastAsia="仿宋_GB2312" w:hAnsi="仿宋_GB2312" w:hint="eastAsia"/>
                <w:sz w:val="24"/>
              </w:rPr>
              <w:t>的影响，挖掘各条款对应的投资机会。行权套利策略，可转</w:t>
            </w:r>
            <w:proofErr w:type="gramStart"/>
            <w:r w:rsidRPr="009C2F04">
              <w:rPr>
                <w:rFonts w:ascii="仿宋_GB2312" w:eastAsia="仿宋_GB2312" w:hAnsi="仿宋_GB2312" w:hint="eastAsia"/>
                <w:sz w:val="24"/>
              </w:rPr>
              <w:t>债具备</w:t>
            </w:r>
            <w:proofErr w:type="gramEnd"/>
            <w:r w:rsidRPr="009C2F04">
              <w:rPr>
                <w:rFonts w:ascii="仿宋_GB2312" w:eastAsia="仿宋_GB2312" w:hAnsi="仿宋_GB2312" w:hint="eastAsia"/>
                <w:sz w:val="24"/>
              </w:rPr>
              <w:t>按照约定的价格转换为标的股票的权利，本基金将综合分析正股的基本面和估值水平、可转债的转股溢价率水平、可转债和标的股票的流动性、可转债转股对标的股票稀释和抛售压力等因素，确定是否行使将可转债转换为标的股票的权利，以及转股的时机和转股后标的股票的持有时间。</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6、资产支持证券投资策略</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资产支持证券投资关键在于对基础资产质量及未来现金流的分析，本基金将采用基本面分析和数量化模型相结合，对个</w:t>
            </w:r>
            <w:proofErr w:type="gramStart"/>
            <w:r w:rsidRPr="009C2F04">
              <w:rPr>
                <w:rFonts w:ascii="仿宋_GB2312" w:eastAsia="仿宋_GB2312" w:hAnsi="仿宋_GB2312" w:hint="eastAsia"/>
                <w:sz w:val="24"/>
              </w:rPr>
              <w:t>券</w:t>
            </w:r>
            <w:proofErr w:type="gramEnd"/>
            <w:r w:rsidRPr="009C2F04">
              <w:rPr>
                <w:rFonts w:ascii="仿宋_GB2312" w:eastAsia="仿宋_GB2312" w:hAnsi="仿宋_GB2312" w:hint="eastAsia"/>
                <w:sz w:val="24"/>
              </w:rPr>
              <w:t>进行风险分析和价值评估后进行投资。本基金将严格控制资产支持证券的总体投资规模并进行分散投资，以降低流动性风险。</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7、融资及转融通证券出借业务投资策略</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为更好地实现投资目标，在加强风险防范并遵守审慎原则的前提下，本基金可根据投资管理的需要参与融资及转融通证券出借业务。本基金将在分析市场情况、投资者类型与结构、基金</w:t>
            </w:r>
            <w:proofErr w:type="gramStart"/>
            <w:r w:rsidRPr="009C2F04">
              <w:rPr>
                <w:rFonts w:ascii="仿宋_GB2312" w:eastAsia="仿宋_GB2312" w:hAnsi="仿宋_GB2312" w:hint="eastAsia"/>
                <w:sz w:val="24"/>
              </w:rPr>
              <w:t>历史申赎情况</w:t>
            </w:r>
            <w:proofErr w:type="gramEnd"/>
            <w:r w:rsidRPr="009C2F04">
              <w:rPr>
                <w:rFonts w:ascii="仿宋_GB2312" w:eastAsia="仿宋_GB2312" w:hAnsi="仿宋_GB2312" w:hint="eastAsia"/>
                <w:sz w:val="24"/>
              </w:rPr>
              <w:t>、出借证券流动性情况等因素的基础上，合理确定出借证券的范围、期限和比例。</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8、存托凭证投资策略</w:t>
            </w:r>
          </w:p>
          <w:p w:rsidR="009C2F04" w:rsidRPr="009C2F04"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本基金在综合考虑预期收益、风险、流动性等因素的基础上，根据审慎原则合理参与存托凭证的投资，以更好</w:t>
            </w:r>
            <w:r w:rsidRPr="009C2F04">
              <w:rPr>
                <w:rFonts w:ascii="仿宋_GB2312" w:eastAsia="仿宋_GB2312" w:hAnsi="仿宋_GB2312" w:hint="eastAsia"/>
                <w:sz w:val="24"/>
              </w:rPr>
              <w:lastRenderedPageBreak/>
              <w:t>地跟踪标的指数，追求跟踪偏离度和跟踪误差的最小化。</w:t>
            </w:r>
          </w:p>
          <w:p w:rsidR="004C623D" w:rsidRDefault="009C2F04" w:rsidP="009C2F04">
            <w:pPr>
              <w:spacing w:line="360" w:lineRule="auto"/>
              <w:rPr>
                <w:rFonts w:ascii="仿宋_GB2312" w:eastAsia="仿宋_GB2312" w:hAnsi="仿宋_GB2312"/>
                <w:sz w:val="24"/>
              </w:rPr>
            </w:pPr>
            <w:r w:rsidRPr="009C2F04">
              <w:rPr>
                <w:rFonts w:ascii="仿宋_GB2312" w:eastAsia="仿宋_GB2312" w:hAnsi="仿宋_GB2312" w:hint="eastAsia"/>
                <w:sz w:val="24"/>
              </w:rPr>
              <w:t>今后，随着证券市场的发展、金融工具的丰富和交易方式的创新等，基金还将积极寻求其他投资机会，如法律法规或监管机构以后允许基金投资其他品种，本基金将在履行适当程序后，将其纳入投资范围以丰富组合投资策略。</w:t>
            </w:r>
          </w:p>
        </w:tc>
      </w:tr>
      <w:tr w:rsidR="00E21BEB" w:rsidTr="008D065E">
        <w:trPr>
          <w:trHeight w:val="20"/>
          <w:jc w:val="center"/>
        </w:trPr>
        <w:tc>
          <w:tcPr>
            <w:tcW w:w="613"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lastRenderedPageBreak/>
              <w:t>11</w:t>
            </w:r>
          </w:p>
        </w:tc>
        <w:tc>
          <w:tcPr>
            <w:tcW w:w="2301" w:type="dxa"/>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业绩比较基准</w:t>
            </w:r>
          </w:p>
        </w:tc>
        <w:tc>
          <w:tcPr>
            <w:tcW w:w="6012" w:type="dxa"/>
            <w:gridSpan w:val="5"/>
            <w:vAlign w:val="center"/>
          </w:tcPr>
          <w:p w:rsidR="00E21BEB" w:rsidRDefault="002A4F8B" w:rsidP="00E15ED0">
            <w:pPr>
              <w:spacing w:line="360" w:lineRule="auto"/>
              <w:rPr>
                <w:rFonts w:ascii="仿宋_GB2312" w:eastAsia="仿宋_GB2312" w:hAnsi="仿宋_GB2312"/>
                <w:sz w:val="24"/>
              </w:rPr>
            </w:pPr>
            <w:r>
              <w:rPr>
                <w:rFonts w:ascii="仿宋_GB2312" w:eastAsia="仿宋_GB2312" w:hAnsi="仿宋_GB2312" w:hint="eastAsia"/>
                <w:sz w:val="24"/>
              </w:rPr>
              <w:t>本基金的业绩比较基准为标的指数收益率。本基金标的指数为</w:t>
            </w:r>
            <w:r w:rsidR="00D62F43">
              <w:rPr>
                <w:rFonts w:ascii="仿宋_GB2312" w:eastAsia="仿宋_GB2312" w:hAnsi="仿宋_GB2312" w:hint="eastAsia"/>
                <w:sz w:val="24"/>
              </w:rPr>
              <w:t>{{指数名称}}</w:t>
            </w:r>
            <w:r>
              <w:rPr>
                <w:rFonts w:ascii="仿宋_GB2312" w:eastAsia="仿宋_GB2312" w:hAnsi="仿宋_GB2312" w:hint="eastAsia"/>
                <w:sz w:val="24"/>
              </w:rPr>
              <w:t>指数。</w:t>
            </w:r>
          </w:p>
        </w:tc>
      </w:tr>
      <w:bookmarkEnd w:id="0"/>
      <w:tr w:rsidR="00E21BEB" w:rsidTr="008D065E">
        <w:trPr>
          <w:trHeight w:val="20"/>
          <w:jc w:val="center"/>
        </w:trPr>
        <w:tc>
          <w:tcPr>
            <w:tcW w:w="613" w:type="dxa"/>
            <w:vMerge w:val="restart"/>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12</w:t>
            </w:r>
          </w:p>
        </w:tc>
        <w:tc>
          <w:tcPr>
            <w:tcW w:w="2301" w:type="dxa"/>
            <w:vMerge w:val="restart"/>
            <w:vAlign w:val="center"/>
          </w:tcPr>
          <w:p w:rsidR="00E21BEB" w:rsidRDefault="00E21BEB" w:rsidP="0008400F">
            <w:pPr>
              <w:spacing w:line="360" w:lineRule="auto"/>
              <w:jc w:val="center"/>
              <w:rPr>
                <w:rFonts w:ascii="仿宋_GB2312" w:eastAsia="仿宋_GB2312" w:hAnsi="仿宋_GB2312"/>
                <w:b/>
                <w:sz w:val="24"/>
              </w:rPr>
            </w:pPr>
            <w:r>
              <w:rPr>
                <w:rFonts w:ascii="仿宋_GB2312" w:eastAsia="仿宋_GB2312" w:hAnsi="仿宋_GB2312" w:hint="eastAsia"/>
                <w:b/>
                <w:sz w:val="24"/>
              </w:rPr>
              <w:t>费率结构</w:t>
            </w:r>
          </w:p>
        </w:tc>
        <w:tc>
          <w:tcPr>
            <w:tcW w:w="1708" w:type="dxa"/>
            <w:vAlign w:val="center"/>
          </w:tcPr>
          <w:p w:rsidR="00E21BEB" w:rsidRDefault="00E21BEB" w:rsidP="004B5BC4">
            <w:pPr>
              <w:spacing w:line="360" w:lineRule="auto"/>
              <w:jc w:val="center"/>
              <w:rPr>
                <w:rFonts w:ascii="仿宋_GB2312" w:eastAsia="仿宋_GB2312" w:hAnsi="仿宋_GB2312"/>
                <w:b/>
                <w:sz w:val="24"/>
              </w:rPr>
            </w:pPr>
            <w:r>
              <w:rPr>
                <w:rFonts w:ascii="仿宋_GB2312" w:eastAsia="仿宋_GB2312" w:hAnsi="仿宋_GB2312" w:hint="eastAsia"/>
                <w:b/>
                <w:sz w:val="24"/>
              </w:rPr>
              <w:t>管理费率</w:t>
            </w:r>
          </w:p>
        </w:tc>
        <w:tc>
          <w:tcPr>
            <w:tcW w:w="1200" w:type="dxa"/>
            <w:gridSpan w:val="2"/>
            <w:vAlign w:val="center"/>
          </w:tcPr>
          <w:p w:rsidR="00E21BEB" w:rsidRDefault="00D62F43" w:rsidP="00E15ED0">
            <w:pPr>
              <w:spacing w:line="360" w:lineRule="auto"/>
              <w:jc w:val="center"/>
              <w:rPr>
                <w:rFonts w:ascii="仿宋_GB2312" w:eastAsia="仿宋_GB2312" w:hAnsi="仿宋_GB2312"/>
                <w:sz w:val="24"/>
              </w:rPr>
            </w:pPr>
            <w:r>
              <w:rPr>
                <w:rFonts w:ascii="仿宋_GB2312" w:eastAsia="仿宋_GB2312" w:hAnsi="仿宋_GB2312" w:hint="eastAsia"/>
                <w:sz w:val="24"/>
              </w:rPr>
              <w:t>{{管理费率}}</w:t>
            </w:r>
            <w:r w:rsidR="00154FB5" w:rsidRPr="00154FB5">
              <w:rPr>
                <w:rFonts w:ascii="仿宋_GB2312" w:eastAsia="仿宋_GB2312" w:hAnsi="仿宋_GB2312"/>
                <w:sz w:val="24"/>
              </w:rPr>
              <w:t>%</w:t>
            </w:r>
          </w:p>
        </w:tc>
        <w:tc>
          <w:tcPr>
            <w:tcW w:w="1258" w:type="dxa"/>
            <w:vAlign w:val="center"/>
          </w:tcPr>
          <w:p w:rsidR="00E21BEB" w:rsidRDefault="00E21BEB" w:rsidP="004B5BC4">
            <w:pPr>
              <w:spacing w:line="360" w:lineRule="auto"/>
              <w:jc w:val="center"/>
              <w:rPr>
                <w:rFonts w:ascii="仿宋_GB2312" w:eastAsia="仿宋_GB2312" w:hAnsi="仿宋_GB2312"/>
                <w:b/>
                <w:sz w:val="24"/>
              </w:rPr>
            </w:pPr>
            <w:r>
              <w:rPr>
                <w:rFonts w:ascii="仿宋_GB2312" w:eastAsia="仿宋_GB2312" w:hAnsi="仿宋_GB2312" w:hint="eastAsia"/>
                <w:b/>
                <w:sz w:val="24"/>
              </w:rPr>
              <w:t>是否突破行业下限</w:t>
            </w:r>
          </w:p>
        </w:tc>
        <w:tc>
          <w:tcPr>
            <w:tcW w:w="1846" w:type="dxa"/>
            <w:vAlign w:val="center"/>
          </w:tcPr>
          <w:p w:rsidR="00E21BEB" w:rsidRDefault="00E21BEB" w:rsidP="004B5BC4">
            <w:pPr>
              <w:spacing w:line="360" w:lineRule="auto"/>
              <w:jc w:val="center"/>
              <w:rPr>
                <w:rFonts w:ascii="仿宋_GB2312" w:eastAsia="仿宋_GB2312" w:hAnsi="仿宋_GB2312"/>
                <w:sz w:val="24"/>
              </w:rPr>
            </w:pPr>
            <w:r>
              <w:rPr>
                <w:rFonts w:ascii="仿宋_GB2312" w:eastAsia="仿宋_GB2312" w:hAnsi="仿宋_GB2312" w:hint="eastAsia"/>
                <w:sz w:val="24"/>
              </w:rPr>
              <w:t>否。目前最低为</w:t>
            </w:r>
            <w:r w:rsidR="000B5ED6" w:rsidRPr="00154FB5">
              <w:rPr>
                <w:rFonts w:ascii="仿宋_GB2312" w:eastAsia="仿宋_GB2312" w:hAnsi="仿宋_GB2312"/>
                <w:sz w:val="24"/>
              </w:rPr>
              <w:t>0.15%</w:t>
            </w:r>
          </w:p>
        </w:tc>
      </w:tr>
      <w:tr w:rsidR="00E21BEB" w:rsidTr="008D065E">
        <w:trPr>
          <w:trHeight w:val="20"/>
          <w:jc w:val="center"/>
        </w:trPr>
        <w:tc>
          <w:tcPr>
            <w:tcW w:w="613" w:type="dxa"/>
            <w:vMerge/>
            <w:vAlign w:val="center"/>
          </w:tcPr>
          <w:p w:rsidR="00E21BEB" w:rsidRDefault="00E21BEB" w:rsidP="004B5BC4">
            <w:pPr>
              <w:spacing w:line="360" w:lineRule="auto"/>
              <w:jc w:val="center"/>
              <w:rPr>
                <w:rFonts w:ascii="仿宋_GB2312" w:eastAsia="仿宋_GB2312" w:hAnsi="仿宋_GB2312"/>
                <w:b/>
                <w:sz w:val="24"/>
              </w:rPr>
            </w:pPr>
          </w:p>
        </w:tc>
        <w:tc>
          <w:tcPr>
            <w:tcW w:w="2301" w:type="dxa"/>
            <w:vMerge/>
            <w:vAlign w:val="center"/>
          </w:tcPr>
          <w:p w:rsidR="00E21BEB" w:rsidRDefault="00E21BEB" w:rsidP="004B5BC4">
            <w:pPr>
              <w:spacing w:line="360" w:lineRule="auto"/>
              <w:jc w:val="center"/>
              <w:rPr>
                <w:rFonts w:ascii="仿宋_GB2312" w:eastAsia="仿宋_GB2312" w:hAnsi="仿宋_GB2312"/>
                <w:b/>
                <w:sz w:val="24"/>
              </w:rPr>
            </w:pPr>
          </w:p>
        </w:tc>
        <w:tc>
          <w:tcPr>
            <w:tcW w:w="1708" w:type="dxa"/>
            <w:vAlign w:val="center"/>
          </w:tcPr>
          <w:p w:rsidR="00E21BEB" w:rsidRDefault="00E21BEB" w:rsidP="004B5BC4">
            <w:pPr>
              <w:spacing w:line="360" w:lineRule="auto"/>
              <w:jc w:val="center"/>
              <w:rPr>
                <w:rFonts w:ascii="仿宋_GB2312" w:eastAsia="仿宋_GB2312" w:hAnsi="仿宋_GB2312"/>
                <w:b/>
                <w:sz w:val="24"/>
              </w:rPr>
            </w:pPr>
            <w:r>
              <w:rPr>
                <w:rFonts w:ascii="仿宋_GB2312" w:eastAsia="仿宋_GB2312" w:hAnsi="仿宋_GB2312" w:hint="eastAsia"/>
                <w:b/>
                <w:sz w:val="24"/>
              </w:rPr>
              <w:t>托管费率</w:t>
            </w:r>
          </w:p>
        </w:tc>
        <w:tc>
          <w:tcPr>
            <w:tcW w:w="1200" w:type="dxa"/>
            <w:gridSpan w:val="2"/>
            <w:vAlign w:val="center"/>
          </w:tcPr>
          <w:p w:rsidR="00E21BEB" w:rsidRDefault="00D62F43" w:rsidP="00E15ED0">
            <w:pPr>
              <w:spacing w:line="360" w:lineRule="auto"/>
              <w:jc w:val="center"/>
              <w:rPr>
                <w:rFonts w:ascii="仿宋_GB2312" w:eastAsia="仿宋_GB2312" w:hAnsi="仿宋_GB2312"/>
                <w:sz w:val="24"/>
              </w:rPr>
            </w:pPr>
            <w:r>
              <w:rPr>
                <w:rFonts w:ascii="仿宋_GB2312" w:eastAsia="仿宋_GB2312" w:hAnsi="仿宋_GB2312" w:hint="eastAsia"/>
                <w:sz w:val="24"/>
              </w:rPr>
              <w:t>{{托管费率}}</w:t>
            </w:r>
            <w:r w:rsidR="00154FB5" w:rsidRPr="00154FB5">
              <w:rPr>
                <w:rFonts w:ascii="仿宋_GB2312" w:eastAsia="仿宋_GB2312" w:hAnsi="仿宋_GB2312"/>
                <w:sz w:val="24"/>
              </w:rPr>
              <w:t>%</w:t>
            </w:r>
          </w:p>
        </w:tc>
        <w:tc>
          <w:tcPr>
            <w:tcW w:w="1258" w:type="dxa"/>
            <w:vAlign w:val="center"/>
          </w:tcPr>
          <w:p w:rsidR="00E21BEB" w:rsidRDefault="00E21BEB" w:rsidP="004B5BC4">
            <w:pPr>
              <w:spacing w:line="360" w:lineRule="auto"/>
              <w:jc w:val="center"/>
              <w:rPr>
                <w:rFonts w:ascii="仿宋_GB2312" w:eastAsia="仿宋_GB2312" w:hAnsi="仿宋_GB2312"/>
                <w:b/>
                <w:sz w:val="24"/>
              </w:rPr>
            </w:pPr>
            <w:r>
              <w:rPr>
                <w:rFonts w:ascii="仿宋_GB2312" w:eastAsia="仿宋_GB2312" w:hAnsi="仿宋_GB2312" w:hint="eastAsia"/>
                <w:b/>
                <w:sz w:val="24"/>
              </w:rPr>
              <w:t>是否突破行业下限</w:t>
            </w:r>
          </w:p>
        </w:tc>
        <w:tc>
          <w:tcPr>
            <w:tcW w:w="1846" w:type="dxa"/>
            <w:vAlign w:val="center"/>
          </w:tcPr>
          <w:p w:rsidR="00E21BEB" w:rsidRDefault="00E21BEB" w:rsidP="004B5BC4">
            <w:pPr>
              <w:spacing w:line="360" w:lineRule="auto"/>
              <w:jc w:val="center"/>
              <w:rPr>
                <w:rFonts w:ascii="仿宋_GB2312" w:eastAsia="仿宋_GB2312" w:hAnsi="仿宋_GB2312"/>
                <w:sz w:val="24"/>
              </w:rPr>
            </w:pPr>
            <w:r>
              <w:rPr>
                <w:rFonts w:ascii="仿宋_GB2312" w:eastAsia="仿宋_GB2312" w:hAnsi="仿宋_GB2312" w:hint="eastAsia"/>
                <w:sz w:val="24"/>
              </w:rPr>
              <w:t>否。目前最低为</w:t>
            </w:r>
            <w:r w:rsidR="000B5ED6" w:rsidRPr="00154FB5">
              <w:rPr>
                <w:rFonts w:ascii="仿宋_GB2312" w:eastAsia="仿宋_GB2312" w:hAnsi="仿宋_GB2312"/>
                <w:sz w:val="24"/>
              </w:rPr>
              <w:t>0.05%</w:t>
            </w:r>
          </w:p>
        </w:tc>
      </w:tr>
      <w:tr w:rsidR="00E21BEB" w:rsidTr="008D065E">
        <w:trPr>
          <w:trHeight w:val="20"/>
          <w:jc w:val="center"/>
        </w:trPr>
        <w:tc>
          <w:tcPr>
            <w:tcW w:w="613" w:type="dxa"/>
            <w:vMerge/>
            <w:vAlign w:val="center"/>
          </w:tcPr>
          <w:p w:rsidR="00E21BEB" w:rsidRDefault="00E21BEB" w:rsidP="004B5BC4">
            <w:pPr>
              <w:spacing w:line="360" w:lineRule="auto"/>
              <w:jc w:val="center"/>
              <w:rPr>
                <w:rFonts w:ascii="仿宋_GB2312" w:eastAsia="仿宋_GB2312" w:hAnsi="仿宋_GB2312"/>
                <w:b/>
                <w:sz w:val="24"/>
              </w:rPr>
            </w:pPr>
          </w:p>
        </w:tc>
        <w:tc>
          <w:tcPr>
            <w:tcW w:w="2301" w:type="dxa"/>
            <w:vMerge/>
            <w:vAlign w:val="center"/>
          </w:tcPr>
          <w:p w:rsidR="00E21BEB" w:rsidRDefault="00E21BEB" w:rsidP="004B5BC4">
            <w:pPr>
              <w:spacing w:line="360" w:lineRule="auto"/>
              <w:jc w:val="center"/>
              <w:rPr>
                <w:rFonts w:ascii="仿宋_GB2312" w:eastAsia="仿宋_GB2312" w:hAnsi="仿宋_GB2312"/>
                <w:b/>
                <w:sz w:val="24"/>
              </w:rPr>
            </w:pPr>
          </w:p>
        </w:tc>
        <w:tc>
          <w:tcPr>
            <w:tcW w:w="1708" w:type="dxa"/>
            <w:vAlign w:val="center"/>
          </w:tcPr>
          <w:p w:rsidR="00E21BEB" w:rsidRDefault="00E21BEB" w:rsidP="004B5BC4">
            <w:pPr>
              <w:spacing w:line="360" w:lineRule="auto"/>
              <w:jc w:val="center"/>
              <w:rPr>
                <w:rFonts w:ascii="仿宋_GB2312" w:eastAsia="仿宋_GB2312" w:hAnsi="仿宋_GB2312"/>
                <w:b/>
                <w:sz w:val="24"/>
              </w:rPr>
            </w:pPr>
            <w:r>
              <w:rPr>
                <w:rFonts w:ascii="仿宋_GB2312" w:eastAsia="仿宋_GB2312" w:hAnsi="仿宋_GB2312" w:hint="eastAsia"/>
                <w:b/>
                <w:sz w:val="24"/>
              </w:rPr>
              <w:t>认购费率</w:t>
            </w:r>
          </w:p>
        </w:tc>
        <w:tc>
          <w:tcPr>
            <w:tcW w:w="4304" w:type="dxa"/>
            <w:gridSpan w:val="4"/>
            <w:vAlign w:val="center"/>
          </w:tcPr>
          <w:p w:rsidR="00E21BEB" w:rsidRDefault="00823EE4" w:rsidP="002E54CE">
            <w:pPr>
              <w:spacing w:line="360" w:lineRule="auto"/>
              <w:jc w:val="left"/>
              <w:rPr>
                <w:rFonts w:ascii="仿宋_GB2312" w:eastAsia="仿宋_GB2312" w:hAnsi="仿宋_GB2312"/>
                <w:sz w:val="24"/>
              </w:rPr>
            </w:pPr>
            <w:r w:rsidRPr="00823EE4">
              <w:rPr>
                <w:rFonts w:ascii="仿宋_GB2312" w:eastAsia="仿宋_GB2312" w:hAnsi="仿宋_GB2312" w:hint="eastAsia"/>
                <w:sz w:val="24"/>
              </w:rPr>
              <w:t>最高认购费率</w:t>
            </w:r>
            <w:r w:rsidR="00D62F43">
              <w:rPr>
                <w:rFonts w:ascii="仿宋_GB2312" w:eastAsia="仿宋_GB2312" w:hAnsi="仿宋_GB2312" w:hint="eastAsia"/>
                <w:sz w:val="24"/>
              </w:rPr>
              <w:t>0.</w:t>
            </w:r>
            <w:r w:rsidR="00D62F43">
              <w:rPr>
                <w:rFonts w:ascii="仿宋_GB2312" w:eastAsia="仿宋_GB2312" w:hAnsi="仿宋_GB2312"/>
                <w:sz w:val="24"/>
              </w:rPr>
              <w:t>3</w:t>
            </w:r>
            <w:r w:rsidR="002E54CE" w:rsidRPr="002E54CE">
              <w:rPr>
                <w:rFonts w:ascii="仿宋_GB2312" w:eastAsia="仿宋_GB2312" w:hAnsi="仿宋_GB2312" w:hint="eastAsia"/>
                <w:sz w:val="24"/>
              </w:rPr>
              <w:t>0%，认购费率如下表所示：</w:t>
            </w:r>
          </w:p>
          <w:tbl>
            <w:tblPr>
              <w:tblW w:w="39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1"/>
              <w:gridCol w:w="1417"/>
            </w:tblGrid>
            <w:tr w:rsidR="008848AE" w:rsidRPr="008848AE" w:rsidTr="008848AE">
              <w:trPr>
                <w:jc w:val="center"/>
              </w:trPr>
              <w:tc>
                <w:tcPr>
                  <w:tcW w:w="2551" w:type="dxa"/>
                </w:tcPr>
                <w:p w:rsidR="008848AE" w:rsidRPr="008848AE" w:rsidRDefault="008848AE" w:rsidP="008848AE">
                  <w:pPr>
                    <w:spacing w:line="360" w:lineRule="auto"/>
                    <w:jc w:val="center"/>
                    <w:rPr>
                      <w:rFonts w:ascii="仿宋_GB2312" w:eastAsia="仿宋_GB2312" w:hAnsi="仿宋_GB2312"/>
                      <w:sz w:val="24"/>
                    </w:rPr>
                  </w:pPr>
                  <w:r w:rsidRPr="008848AE">
                    <w:rPr>
                      <w:rFonts w:ascii="仿宋_GB2312" w:eastAsia="仿宋_GB2312" w:hAnsi="仿宋_GB2312" w:hint="eastAsia"/>
                      <w:sz w:val="24"/>
                    </w:rPr>
                    <w:t>认购份额（</w:t>
                  </w:r>
                  <w:r w:rsidRPr="008848AE">
                    <w:rPr>
                      <w:rFonts w:ascii="仿宋_GB2312" w:eastAsia="仿宋_GB2312" w:hAnsi="仿宋_GB2312"/>
                      <w:sz w:val="24"/>
                    </w:rPr>
                    <w:t>S</w:t>
                  </w:r>
                  <w:r w:rsidRPr="008848AE">
                    <w:rPr>
                      <w:rFonts w:ascii="仿宋_GB2312" w:eastAsia="仿宋_GB2312" w:hAnsi="仿宋_GB2312" w:hint="eastAsia"/>
                      <w:sz w:val="24"/>
                    </w:rPr>
                    <w:t>）</w:t>
                  </w:r>
                </w:p>
              </w:tc>
              <w:tc>
                <w:tcPr>
                  <w:tcW w:w="1417" w:type="dxa"/>
                </w:tcPr>
                <w:p w:rsidR="008848AE" w:rsidRPr="008848AE" w:rsidRDefault="008848AE" w:rsidP="008848AE">
                  <w:pPr>
                    <w:spacing w:line="360" w:lineRule="auto"/>
                    <w:jc w:val="center"/>
                    <w:rPr>
                      <w:rFonts w:ascii="仿宋_GB2312" w:eastAsia="仿宋_GB2312" w:hAnsi="仿宋_GB2312"/>
                      <w:sz w:val="24"/>
                    </w:rPr>
                  </w:pPr>
                  <w:r w:rsidRPr="008848AE">
                    <w:rPr>
                      <w:rFonts w:ascii="仿宋_GB2312" w:eastAsia="仿宋_GB2312" w:hAnsi="仿宋_GB2312" w:hint="eastAsia"/>
                      <w:sz w:val="24"/>
                    </w:rPr>
                    <w:t>认购费率</w:t>
                  </w:r>
                </w:p>
              </w:tc>
            </w:tr>
            <w:tr w:rsidR="008848AE" w:rsidRPr="008848AE" w:rsidTr="008848AE">
              <w:tblPrEx>
                <w:tblBorders>
                  <w:insideH w:val="none" w:sz="0" w:space="0" w:color="auto"/>
                  <w:insideV w:val="none" w:sz="0" w:space="0" w:color="auto"/>
                </w:tblBorders>
              </w:tblPrEx>
              <w:trPr>
                <w:jc w:val="center"/>
              </w:trPr>
              <w:tc>
                <w:tcPr>
                  <w:tcW w:w="2551" w:type="dxa"/>
                  <w:tcBorders>
                    <w:top w:val="single" w:sz="4" w:space="0" w:color="auto"/>
                    <w:bottom w:val="single" w:sz="4" w:space="0" w:color="auto"/>
                    <w:right w:val="single" w:sz="4" w:space="0" w:color="auto"/>
                  </w:tcBorders>
                  <w:vAlign w:val="center"/>
                </w:tcPr>
                <w:p w:rsidR="008848AE" w:rsidRPr="008848AE" w:rsidRDefault="008848AE" w:rsidP="00617D02">
                  <w:pPr>
                    <w:spacing w:line="360" w:lineRule="auto"/>
                    <w:jc w:val="center"/>
                    <w:rPr>
                      <w:rFonts w:ascii="仿宋_GB2312" w:eastAsia="仿宋_GB2312" w:hAnsi="仿宋_GB2312"/>
                      <w:sz w:val="24"/>
                    </w:rPr>
                  </w:pPr>
                  <w:r w:rsidRPr="008848AE">
                    <w:rPr>
                      <w:rFonts w:ascii="仿宋_GB2312" w:eastAsia="仿宋_GB2312" w:hAnsi="仿宋_GB2312"/>
                      <w:sz w:val="24"/>
                    </w:rPr>
                    <w:t>S</w:t>
                  </w:r>
                  <w:r w:rsidRPr="008848AE">
                    <w:rPr>
                      <w:rFonts w:ascii="仿宋_GB2312" w:eastAsia="仿宋_GB2312" w:hAnsi="仿宋_GB2312" w:hint="eastAsia"/>
                      <w:sz w:val="24"/>
                    </w:rPr>
                    <w:t>＜</w:t>
                  </w:r>
                  <w:r w:rsidR="00617D02">
                    <w:rPr>
                      <w:rFonts w:ascii="仿宋_GB2312" w:eastAsia="仿宋_GB2312" w:hAnsi="仿宋_GB2312"/>
                      <w:sz w:val="24"/>
                    </w:rPr>
                    <w:t>100</w:t>
                  </w:r>
                  <w:r w:rsidRPr="008848AE">
                    <w:rPr>
                      <w:rFonts w:ascii="仿宋_GB2312" w:eastAsia="仿宋_GB2312" w:hAnsi="仿宋_GB2312" w:hint="eastAsia"/>
                      <w:sz w:val="24"/>
                    </w:rPr>
                    <w:t>万份</w:t>
                  </w:r>
                </w:p>
              </w:tc>
              <w:tc>
                <w:tcPr>
                  <w:tcW w:w="1417" w:type="dxa"/>
                  <w:tcBorders>
                    <w:top w:val="single" w:sz="4" w:space="0" w:color="auto"/>
                    <w:left w:val="single" w:sz="4" w:space="0" w:color="auto"/>
                    <w:bottom w:val="single" w:sz="4" w:space="0" w:color="auto"/>
                  </w:tcBorders>
                  <w:vAlign w:val="center"/>
                </w:tcPr>
                <w:p w:rsidR="008848AE" w:rsidRPr="008848AE" w:rsidRDefault="008848AE">
                  <w:pPr>
                    <w:spacing w:line="360" w:lineRule="auto"/>
                    <w:jc w:val="center"/>
                    <w:rPr>
                      <w:rFonts w:ascii="仿宋_GB2312" w:eastAsia="仿宋_GB2312" w:hAnsi="仿宋_GB2312"/>
                      <w:sz w:val="24"/>
                    </w:rPr>
                  </w:pPr>
                  <w:r w:rsidRPr="008848AE">
                    <w:rPr>
                      <w:rFonts w:ascii="仿宋_GB2312" w:eastAsia="仿宋_GB2312" w:hAnsi="仿宋_GB2312" w:hint="eastAsia"/>
                      <w:sz w:val="24"/>
                    </w:rPr>
                    <w:t>0.</w:t>
                  </w:r>
                  <w:r w:rsidR="00617D02">
                    <w:rPr>
                      <w:rFonts w:ascii="仿宋_GB2312" w:eastAsia="仿宋_GB2312" w:hAnsi="仿宋_GB2312"/>
                      <w:sz w:val="24"/>
                    </w:rPr>
                    <w:t>3</w:t>
                  </w:r>
                  <w:r w:rsidR="00617D02" w:rsidRPr="008848AE">
                    <w:rPr>
                      <w:rFonts w:ascii="仿宋_GB2312" w:eastAsia="仿宋_GB2312" w:hAnsi="仿宋_GB2312"/>
                      <w:sz w:val="24"/>
                    </w:rPr>
                    <w:t>0</w:t>
                  </w:r>
                  <w:r w:rsidRPr="008848AE">
                    <w:rPr>
                      <w:rFonts w:ascii="仿宋_GB2312" w:eastAsia="仿宋_GB2312" w:hAnsi="仿宋_GB2312"/>
                      <w:sz w:val="24"/>
                    </w:rPr>
                    <w:t>%</w:t>
                  </w:r>
                </w:p>
              </w:tc>
            </w:tr>
            <w:tr w:rsidR="008848AE" w:rsidRPr="008848AE" w:rsidTr="008848AE">
              <w:tblPrEx>
                <w:tblBorders>
                  <w:insideH w:val="none" w:sz="0" w:space="0" w:color="auto"/>
                  <w:insideV w:val="none" w:sz="0" w:space="0" w:color="auto"/>
                </w:tblBorders>
              </w:tblPrEx>
              <w:trPr>
                <w:jc w:val="center"/>
              </w:trPr>
              <w:tc>
                <w:tcPr>
                  <w:tcW w:w="2551" w:type="dxa"/>
                  <w:tcBorders>
                    <w:top w:val="single" w:sz="4" w:space="0" w:color="auto"/>
                    <w:bottom w:val="single" w:sz="4" w:space="0" w:color="auto"/>
                    <w:right w:val="single" w:sz="4" w:space="0" w:color="auto"/>
                  </w:tcBorders>
                  <w:vAlign w:val="center"/>
                </w:tcPr>
                <w:p w:rsidR="008848AE" w:rsidRPr="008848AE" w:rsidRDefault="008848AE" w:rsidP="008848AE">
                  <w:pPr>
                    <w:spacing w:line="360" w:lineRule="auto"/>
                    <w:jc w:val="center"/>
                    <w:rPr>
                      <w:rFonts w:ascii="仿宋_GB2312" w:eastAsia="仿宋_GB2312" w:hAnsi="仿宋_GB2312"/>
                      <w:sz w:val="24"/>
                    </w:rPr>
                  </w:pPr>
                  <w:r w:rsidRPr="008848AE">
                    <w:rPr>
                      <w:rFonts w:ascii="仿宋_GB2312" w:eastAsia="仿宋_GB2312" w:hAnsi="仿宋_GB2312"/>
                      <w:sz w:val="24"/>
                    </w:rPr>
                    <w:t>S</w:t>
                  </w:r>
                  <w:r w:rsidRPr="008848AE">
                    <w:rPr>
                      <w:rFonts w:ascii="仿宋_GB2312" w:eastAsia="仿宋_GB2312" w:hAnsi="仿宋_GB2312" w:hint="eastAsia"/>
                      <w:sz w:val="24"/>
                    </w:rPr>
                    <w:t>≥</w:t>
                  </w:r>
                  <w:r w:rsidRPr="008848AE">
                    <w:rPr>
                      <w:rFonts w:ascii="仿宋_GB2312" w:eastAsia="仿宋_GB2312" w:hAnsi="仿宋_GB2312"/>
                      <w:sz w:val="24"/>
                    </w:rPr>
                    <w:t>100</w:t>
                  </w:r>
                  <w:r w:rsidRPr="008848AE">
                    <w:rPr>
                      <w:rFonts w:ascii="仿宋_GB2312" w:eastAsia="仿宋_GB2312" w:hAnsi="仿宋_GB2312" w:hint="eastAsia"/>
                      <w:sz w:val="24"/>
                    </w:rPr>
                    <w:t>万份</w:t>
                  </w:r>
                </w:p>
              </w:tc>
              <w:tc>
                <w:tcPr>
                  <w:tcW w:w="1417" w:type="dxa"/>
                  <w:tcBorders>
                    <w:top w:val="single" w:sz="4" w:space="0" w:color="auto"/>
                    <w:left w:val="single" w:sz="4" w:space="0" w:color="auto"/>
                    <w:bottom w:val="single" w:sz="4" w:space="0" w:color="auto"/>
                  </w:tcBorders>
                  <w:vAlign w:val="center"/>
                </w:tcPr>
                <w:p w:rsidR="008848AE" w:rsidRPr="008848AE" w:rsidRDefault="008848AE" w:rsidP="008848AE">
                  <w:pPr>
                    <w:spacing w:line="360" w:lineRule="auto"/>
                    <w:jc w:val="center"/>
                    <w:rPr>
                      <w:rFonts w:ascii="仿宋_GB2312" w:eastAsia="仿宋_GB2312" w:hAnsi="仿宋_GB2312"/>
                      <w:sz w:val="24"/>
                    </w:rPr>
                  </w:pPr>
                  <w:r w:rsidRPr="008848AE">
                    <w:rPr>
                      <w:rFonts w:ascii="仿宋_GB2312" w:eastAsia="仿宋_GB2312" w:hAnsi="仿宋_GB2312" w:hint="eastAsia"/>
                      <w:sz w:val="24"/>
                    </w:rPr>
                    <w:t>每笔</w:t>
                  </w:r>
                  <w:r w:rsidRPr="008848AE">
                    <w:rPr>
                      <w:rFonts w:ascii="仿宋_GB2312" w:eastAsia="仿宋_GB2312" w:hAnsi="仿宋_GB2312"/>
                      <w:sz w:val="24"/>
                    </w:rPr>
                    <w:t>500</w:t>
                  </w:r>
                  <w:r w:rsidRPr="008848AE">
                    <w:rPr>
                      <w:rFonts w:ascii="仿宋_GB2312" w:eastAsia="仿宋_GB2312" w:hAnsi="仿宋_GB2312" w:hint="eastAsia"/>
                      <w:sz w:val="24"/>
                    </w:rPr>
                    <w:t>元</w:t>
                  </w:r>
                </w:p>
              </w:tc>
            </w:tr>
          </w:tbl>
          <w:p w:rsidR="008848AE" w:rsidRPr="008848AE" w:rsidRDefault="00617D02" w:rsidP="00834C7B">
            <w:pPr>
              <w:spacing w:line="360" w:lineRule="auto"/>
              <w:rPr>
                <w:rFonts w:ascii="仿宋_GB2312" w:eastAsia="仿宋_GB2312" w:hAnsi="仿宋_GB2312"/>
                <w:sz w:val="24"/>
              </w:rPr>
            </w:pPr>
            <w:r w:rsidRPr="00617D02">
              <w:rPr>
                <w:rFonts w:ascii="仿宋_GB2312" w:eastAsia="仿宋_GB2312" w:hAnsi="仿宋_GB2312" w:hint="eastAsia"/>
                <w:sz w:val="24"/>
              </w:rPr>
              <w:t>基金管理人办理网下现金认购和网下股票认购不收取认购费。发售代理机构办理网上现金认购、网下现金认购、网下股票认购时可参照上述费率结构，按照不高于0.3%的标准收取一定的佣金。</w:t>
            </w:r>
            <w:r w:rsidR="00920F38" w:rsidRPr="00920F38">
              <w:rPr>
                <w:rFonts w:ascii="仿宋_GB2312" w:eastAsia="仿宋_GB2312" w:hAnsi="仿宋_GB2312" w:hint="eastAsia"/>
                <w:sz w:val="24"/>
              </w:rPr>
              <w:t>投资人申请重复现金认购的，须按每次认购所对应的费率档次分别计费。</w:t>
            </w:r>
          </w:p>
        </w:tc>
      </w:tr>
      <w:tr w:rsidR="00E21BEB" w:rsidTr="008D065E">
        <w:trPr>
          <w:trHeight w:val="20"/>
          <w:jc w:val="center"/>
        </w:trPr>
        <w:tc>
          <w:tcPr>
            <w:tcW w:w="613" w:type="dxa"/>
            <w:vMerge/>
            <w:vAlign w:val="center"/>
          </w:tcPr>
          <w:p w:rsidR="00E21BEB" w:rsidRDefault="00E21BEB" w:rsidP="004B5BC4">
            <w:pPr>
              <w:spacing w:line="360" w:lineRule="auto"/>
              <w:jc w:val="center"/>
              <w:rPr>
                <w:rFonts w:ascii="仿宋_GB2312" w:eastAsia="仿宋_GB2312" w:hAnsi="仿宋_GB2312"/>
                <w:b/>
                <w:sz w:val="24"/>
              </w:rPr>
            </w:pPr>
          </w:p>
        </w:tc>
        <w:tc>
          <w:tcPr>
            <w:tcW w:w="2301" w:type="dxa"/>
            <w:vMerge/>
            <w:vAlign w:val="center"/>
          </w:tcPr>
          <w:p w:rsidR="00E21BEB" w:rsidRDefault="00E21BEB" w:rsidP="004B5BC4">
            <w:pPr>
              <w:spacing w:line="360" w:lineRule="auto"/>
              <w:jc w:val="center"/>
              <w:rPr>
                <w:rFonts w:ascii="仿宋_GB2312" w:eastAsia="仿宋_GB2312" w:hAnsi="仿宋_GB2312"/>
                <w:b/>
                <w:sz w:val="24"/>
              </w:rPr>
            </w:pPr>
          </w:p>
        </w:tc>
        <w:tc>
          <w:tcPr>
            <w:tcW w:w="1708" w:type="dxa"/>
            <w:vAlign w:val="center"/>
          </w:tcPr>
          <w:p w:rsidR="00E21BEB" w:rsidRDefault="00E21BEB" w:rsidP="004B5BC4">
            <w:pPr>
              <w:spacing w:line="360" w:lineRule="auto"/>
              <w:jc w:val="center"/>
              <w:rPr>
                <w:rFonts w:ascii="仿宋_GB2312" w:eastAsia="仿宋_GB2312" w:hAnsi="仿宋_GB2312"/>
                <w:b/>
                <w:sz w:val="24"/>
              </w:rPr>
            </w:pPr>
            <w:r>
              <w:rPr>
                <w:rFonts w:ascii="仿宋_GB2312" w:eastAsia="仿宋_GB2312" w:hAnsi="仿宋_GB2312" w:hint="eastAsia"/>
                <w:b/>
                <w:sz w:val="24"/>
              </w:rPr>
              <w:t>申购费率</w:t>
            </w:r>
          </w:p>
        </w:tc>
        <w:tc>
          <w:tcPr>
            <w:tcW w:w="4304" w:type="dxa"/>
            <w:gridSpan w:val="4"/>
            <w:vAlign w:val="center"/>
          </w:tcPr>
          <w:p w:rsidR="00E21BEB" w:rsidRDefault="00823EE4" w:rsidP="00823EE4">
            <w:pPr>
              <w:spacing w:line="360" w:lineRule="auto"/>
              <w:jc w:val="left"/>
              <w:rPr>
                <w:rFonts w:ascii="仿宋_GB2312" w:eastAsia="仿宋_GB2312" w:hAnsi="仿宋_GB2312"/>
                <w:sz w:val="24"/>
              </w:rPr>
            </w:pPr>
            <w:r w:rsidRPr="00823EE4">
              <w:rPr>
                <w:rFonts w:ascii="仿宋_GB2312" w:eastAsia="仿宋_GB2312" w:hAnsi="仿宋_GB2312" w:hint="eastAsia"/>
                <w:sz w:val="24"/>
              </w:rPr>
              <w:t>最高申购费率</w:t>
            </w:r>
            <w:r w:rsidR="00154FB5" w:rsidRPr="00154FB5">
              <w:rPr>
                <w:rFonts w:ascii="仿宋_GB2312" w:eastAsia="仿宋_GB2312" w:hAnsi="仿宋_GB2312"/>
                <w:sz w:val="24"/>
              </w:rPr>
              <w:t>0.2%</w:t>
            </w:r>
            <w:r>
              <w:rPr>
                <w:rFonts w:ascii="仿宋_GB2312" w:eastAsia="仿宋_GB2312" w:hAnsi="仿宋_GB2312" w:hint="eastAsia"/>
                <w:sz w:val="24"/>
              </w:rPr>
              <w:t>：</w:t>
            </w:r>
          </w:p>
          <w:p w:rsidR="00823EE4" w:rsidRDefault="00823EE4" w:rsidP="00834C7B">
            <w:pPr>
              <w:spacing w:line="360" w:lineRule="auto"/>
              <w:rPr>
                <w:rFonts w:ascii="仿宋_GB2312" w:eastAsia="仿宋_GB2312" w:hAnsi="仿宋_GB2312"/>
                <w:sz w:val="24"/>
              </w:rPr>
            </w:pPr>
            <w:r w:rsidRPr="00823EE4">
              <w:rPr>
                <w:rFonts w:ascii="仿宋_GB2312" w:eastAsia="仿宋_GB2312" w:hAnsi="仿宋_GB2312" w:hint="eastAsia"/>
                <w:sz w:val="24"/>
              </w:rPr>
              <w:t>投资人在申购或赎回基金份额时，申购赎回代理券商可按照不超过0.2%的标准收取佣金，其中包含证券交易所、登记机构等收取的相关费用。</w:t>
            </w:r>
          </w:p>
        </w:tc>
      </w:tr>
      <w:tr w:rsidR="00823EE4" w:rsidTr="008D065E">
        <w:trPr>
          <w:trHeight w:val="20"/>
          <w:jc w:val="center"/>
        </w:trPr>
        <w:tc>
          <w:tcPr>
            <w:tcW w:w="613" w:type="dxa"/>
            <w:vMerge/>
            <w:vAlign w:val="center"/>
          </w:tcPr>
          <w:p w:rsidR="00823EE4" w:rsidRDefault="00823EE4" w:rsidP="00823EE4">
            <w:pPr>
              <w:spacing w:line="360" w:lineRule="auto"/>
              <w:jc w:val="center"/>
              <w:rPr>
                <w:rFonts w:ascii="仿宋_GB2312" w:eastAsia="仿宋_GB2312" w:hAnsi="仿宋_GB2312"/>
                <w:b/>
                <w:sz w:val="24"/>
              </w:rPr>
            </w:pPr>
          </w:p>
        </w:tc>
        <w:tc>
          <w:tcPr>
            <w:tcW w:w="2301" w:type="dxa"/>
            <w:vMerge/>
            <w:vAlign w:val="center"/>
          </w:tcPr>
          <w:p w:rsidR="00823EE4" w:rsidRDefault="00823EE4" w:rsidP="00823EE4">
            <w:pPr>
              <w:spacing w:line="360" w:lineRule="auto"/>
              <w:jc w:val="center"/>
              <w:rPr>
                <w:rFonts w:ascii="仿宋_GB2312" w:eastAsia="仿宋_GB2312" w:hAnsi="仿宋_GB2312"/>
                <w:b/>
                <w:sz w:val="24"/>
              </w:rPr>
            </w:pPr>
          </w:p>
        </w:tc>
        <w:tc>
          <w:tcPr>
            <w:tcW w:w="1708" w:type="dxa"/>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赎回费率</w:t>
            </w:r>
          </w:p>
        </w:tc>
        <w:tc>
          <w:tcPr>
            <w:tcW w:w="4304" w:type="dxa"/>
            <w:gridSpan w:val="4"/>
            <w:vAlign w:val="center"/>
          </w:tcPr>
          <w:p w:rsidR="00823EE4" w:rsidRDefault="00823EE4" w:rsidP="00743E24">
            <w:pPr>
              <w:spacing w:line="360" w:lineRule="auto"/>
              <w:jc w:val="left"/>
              <w:rPr>
                <w:rFonts w:ascii="仿宋_GB2312" w:eastAsia="仿宋_GB2312" w:hAnsi="仿宋_GB2312"/>
                <w:sz w:val="24"/>
              </w:rPr>
            </w:pPr>
            <w:r w:rsidRPr="00823EE4">
              <w:rPr>
                <w:rFonts w:ascii="仿宋_GB2312" w:eastAsia="仿宋_GB2312" w:hAnsi="仿宋_GB2312" w:hint="eastAsia"/>
                <w:sz w:val="24"/>
              </w:rPr>
              <w:t>最高赎回费率</w:t>
            </w:r>
            <w:r w:rsidRPr="00154FB5">
              <w:rPr>
                <w:rFonts w:ascii="仿宋_GB2312" w:eastAsia="仿宋_GB2312" w:hAnsi="仿宋_GB2312"/>
                <w:sz w:val="24"/>
              </w:rPr>
              <w:t>0.2%</w:t>
            </w:r>
            <w:r>
              <w:rPr>
                <w:rFonts w:ascii="仿宋_GB2312" w:eastAsia="仿宋_GB2312" w:hAnsi="仿宋_GB2312" w:hint="eastAsia"/>
                <w:sz w:val="24"/>
              </w:rPr>
              <w:t>：</w:t>
            </w:r>
          </w:p>
          <w:p w:rsidR="00823EE4" w:rsidRDefault="00823EE4" w:rsidP="00834C7B">
            <w:pPr>
              <w:spacing w:line="360" w:lineRule="auto"/>
              <w:rPr>
                <w:rFonts w:ascii="仿宋_GB2312" w:eastAsia="仿宋_GB2312" w:hAnsi="仿宋_GB2312"/>
                <w:sz w:val="24"/>
              </w:rPr>
            </w:pPr>
            <w:r w:rsidRPr="00823EE4">
              <w:rPr>
                <w:rFonts w:ascii="仿宋_GB2312" w:eastAsia="仿宋_GB2312" w:hAnsi="仿宋_GB2312" w:hint="eastAsia"/>
                <w:sz w:val="24"/>
              </w:rPr>
              <w:t>投资人在申购或赎回基金份额时，申购赎回代理券商可按照不超过0.2%的标准收取佣金，其中包含证券交易所、登记机构等收取的相关费用。</w:t>
            </w:r>
          </w:p>
        </w:tc>
      </w:tr>
      <w:tr w:rsidR="00823EE4" w:rsidTr="008D065E">
        <w:trPr>
          <w:trHeight w:val="20"/>
          <w:jc w:val="center"/>
        </w:trPr>
        <w:tc>
          <w:tcPr>
            <w:tcW w:w="613" w:type="dxa"/>
            <w:vMerge/>
            <w:vAlign w:val="center"/>
          </w:tcPr>
          <w:p w:rsidR="00823EE4" w:rsidRDefault="00823EE4" w:rsidP="00823EE4">
            <w:pPr>
              <w:spacing w:line="360" w:lineRule="auto"/>
              <w:jc w:val="center"/>
              <w:rPr>
                <w:rFonts w:ascii="仿宋_GB2312" w:eastAsia="仿宋_GB2312" w:hAnsi="仿宋_GB2312"/>
                <w:b/>
                <w:sz w:val="24"/>
              </w:rPr>
            </w:pPr>
          </w:p>
        </w:tc>
        <w:tc>
          <w:tcPr>
            <w:tcW w:w="2301" w:type="dxa"/>
            <w:vMerge/>
            <w:vAlign w:val="center"/>
          </w:tcPr>
          <w:p w:rsidR="00823EE4" w:rsidRDefault="00823EE4" w:rsidP="00823EE4">
            <w:pPr>
              <w:spacing w:line="360" w:lineRule="auto"/>
              <w:jc w:val="center"/>
              <w:rPr>
                <w:rFonts w:ascii="仿宋_GB2312" w:eastAsia="仿宋_GB2312" w:hAnsi="仿宋_GB2312"/>
                <w:b/>
                <w:sz w:val="24"/>
              </w:rPr>
            </w:pPr>
          </w:p>
        </w:tc>
        <w:tc>
          <w:tcPr>
            <w:tcW w:w="1708" w:type="dxa"/>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销售服务费（若有）</w:t>
            </w:r>
          </w:p>
        </w:tc>
        <w:tc>
          <w:tcPr>
            <w:tcW w:w="4304" w:type="dxa"/>
            <w:gridSpan w:val="4"/>
            <w:vAlign w:val="center"/>
          </w:tcPr>
          <w:p w:rsidR="00823EE4" w:rsidRDefault="00823EE4" w:rsidP="00823EE4">
            <w:pPr>
              <w:spacing w:line="360" w:lineRule="auto"/>
              <w:jc w:val="center"/>
              <w:rPr>
                <w:rFonts w:ascii="仿宋_GB2312" w:eastAsia="仿宋_GB2312" w:hAnsi="仿宋_GB2312"/>
                <w:sz w:val="24"/>
              </w:rPr>
            </w:pPr>
            <w:r>
              <w:rPr>
                <w:rFonts w:ascii="仿宋_GB2312" w:eastAsia="仿宋_GB2312" w:hAnsi="仿宋_GB2312" w:hint="eastAsia"/>
                <w:sz w:val="24"/>
              </w:rPr>
              <w:t>-</w:t>
            </w:r>
          </w:p>
        </w:tc>
      </w:tr>
      <w:tr w:rsidR="00823EE4" w:rsidTr="008D065E">
        <w:trPr>
          <w:trHeight w:val="20"/>
          <w:jc w:val="center"/>
        </w:trPr>
        <w:tc>
          <w:tcPr>
            <w:tcW w:w="613" w:type="dxa"/>
            <w:vMerge/>
            <w:vAlign w:val="center"/>
          </w:tcPr>
          <w:p w:rsidR="00823EE4" w:rsidRDefault="00823EE4" w:rsidP="00823EE4">
            <w:pPr>
              <w:spacing w:line="360" w:lineRule="auto"/>
              <w:jc w:val="center"/>
              <w:rPr>
                <w:rFonts w:ascii="仿宋_GB2312" w:eastAsia="仿宋_GB2312" w:hAnsi="仿宋_GB2312"/>
                <w:b/>
                <w:sz w:val="24"/>
              </w:rPr>
            </w:pPr>
            <w:bookmarkStart w:id="1" w:name="_Hlk131171322"/>
          </w:p>
        </w:tc>
        <w:tc>
          <w:tcPr>
            <w:tcW w:w="2301" w:type="dxa"/>
            <w:vMerge/>
            <w:vAlign w:val="center"/>
          </w:tcPr>
          <w:p w:rsidR="00823EE4" w:rsidRDefault="00823EE4" w:rsidP="00823EE4">
            <w:pPr>
              <w:spacing w:line="360" w:lineRule="auto"/>
              <w:jc w:val="center"/>
              <w:rPr>
                <w:rFonts w:ascii="仿宋_GB2312" w:eastAsia="仿宋_GB2312" w:hAnsi="仿宋_GB2312"/>
                <w:b/>
                <w:sz w:val="24"/>
              </w:rPr>
            </w:pPr>
          </w:p>
        </w:tc>
        <w:tc>
          <w:tcPr>
            <w:tcW w:w="1708" w:type="dxa"/>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指数许可使用费</w:t>
            </w:r>
          </w:p>
        </w:tc>
        <w:tc>
          <w:tcPr>
            <w:tcW w:w="4304" w:type="dxa"/>
            <w:gridSpan w:val="4"/>
            <w:vAlign w:val="center"/>
          </w:tcPr>
          <w:p w:rsidR="00823EE4" w:rsidRDefault="00823EE4" w:rsidP="00834C7B">
            <w:pPr>
              <w:spacing w:line="360" w:lineRule="auto"/>
              <w:rPr>
                <w:rFonts w:ascii="仿宋_GB2312" w:eastAsia="仿宋_GB2312" w:hAnsi="仿宋_GB2312"/>
                <w:sz w:val="24"/>
              </w:rPr>
            </w:pPr>
            <w:r w:rsidRPr="00FD05C7">
              <w:rPr>
                <w:rFonts w:ascii="仿宋_GB2312" w:eastAsia="仿宋_GB2312" w:hAnsi="仿宋_GB2312" w:hint="eastAsia"/>
                <w:sz w:val="24"/>
              </w:rPr>
              <w:t>标的指数许可使用费应当由基金管理人承担，不得从基金财产中列支。</w:t>
            </w:r>
          </w:p>
        </w:tc>
      </w:tr>
      <w:bookmarkEnd w:id="1"/>
      <w:tr w:rsidR="00823EE4" w:rsidTr="008D065E">
        <w:trPr>
          <w:trHeight w:val="20"/>
          <w:jc w:val="center"/>
        </w:trPr>
        <w:tc>
          <w:tcPr>
            <w:tcW w:w="613" w:type="dxa"/>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13</w:t>
            </w:r>
          </w:p>
        </w:tc>
        <w:tc>
          <w:tcPr>
            <w:tcW w:w="2301" w:type="dxa"/>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申购方式</w:t>
            </w:r>
          </w:p>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（ETF适用）</w:t>
            </w:r>
          </w:p>
        </w:tc>
        <w:tc>
          <w:tcPr>
            <w:tcW w:w="6012" w:type="dxa"/>
            <w:gridSpan w:val="5"/>
            <w:vAlign w:val="center"/>
          </w:tcPr>
          <w:p w:rsidR="00823EE4" w:rsidRDefault="009B021D" w:rsidP="003A1B81">
            <w:pPr>
              <w:spacing w:line="360" w:lineRule="auto"/>
              <w:rPr>
                <w:rFonts w:ascii="仿宋_GB2312" w:eastAsia="仿宋_GB2312" w:hAnsi="仿宋_GB2312"/>
                <w:sz w:val="24"/>
              </w:rPr>
            </w:pPr>
            <w:r w:rsidRPr="009B021D">
              <w:rPr>
                <w:rFonts w:ascii="仿宋_GB2312" w:eastAsia="仿宋_GB2312" w:hAnsi="仿宋_GB2312" w:hint="eastAsia"/>
                <w:sz w:val="24"/>
              </w:rPr>
              <w:t>本基金为</w:t>
            </w:r>
            <w:r w:rsidR="00D62F43">
              <w:rPr>
                <w:rFonts w:ascii="仿宋_GB2312" w:eastAsia="仿宋_GB2312" w:hAnsi="仿宋_GB2312" w:hint="eastAsia"/>
                <w:sz w:val="24"/>
              </w:rPr>
              <w:t>{{上市交易所}}</w:t>
            </w:r>
            <w:r w:rsidRPr="009B021D">
              <w:rPr>
                <w:rFonts w:ascii="仿宋_GB2312" w:eastAsia="仿宋_GB2312" w:hAnsi="仿宋_GB2312" w:hint="eastAsia"/>
                <w:sz w:val="24"/>
              </w:rPr>
              <w:t>上市的</w:t>
            </w:r>
            <w:r w:rsidR="00D62F43">
              <w:rPr>
                <w:rFonts w:ascii="仿宋_GB2312" w:eastAsia="仿宋_GB2312" w:hAnsi="仿宋_GB2312" w:hint="eastAsia"/>
                <w:sz w:val="24"/>
              </w:rPr>
              <w:t>{{ETF类型}}</w:t>
            </w:r>
            <w:r w:rsidRPr="009B021D">
              <w:rPr>
                <w:rFonts w:ascii="仿宋_GB2312" w:eastAsia="仿宋_GB2312" w:hAnsi="仿宋_GB2312" w:hint="eastAsia"/>
                <w:sz w:val="24"/>
              </w:rPr>
              <w:t>ETF，标的指数成份股包含上海证券交易所上市的股票</w:t>
            </w:r>
            <w:r w:rsidR="00AB7540">
              <w:rPr>
                <w:rFonts w:ascii="仿宋_GB2312" w:eastAsia="仿宋_GB2312" w:hAnsi="仿宋_GB2312" w:hint="eastAsia"/>
                <w:sz w:val="24"/>
              </w:rPr>
              <w:t>、</w:t>
            </w:r>
            <w:bookmarkStart w:id="2" w:name="OLE_LINK8"/>
            <w:bookmarkStart w:id="3" w:name="OLE_LINK9"/>
            <w:r w:rsidRPr="009B021D">
              <w:rPr>
                <w:rFonts w:ascii="仿宋_GB2312" w:eastAsia="仿宋_GB2312" w:hAnsi="仿宋_GB2312" w:hint="eastAsia"/>
                <w:sz w:val="24"/>
              </w:rPr>
              <w:t>深圳证券交易所上市的股票</w:t>
            </w:r>
            <w:r w:rsidR="00AB7540">
              <w:rPr>
                <w:rFonts w:ascii="仿宋_GB2312" w:eastAsia="仿宋_GB2312" w:hAnsi="仿宋_GB2312" w:hint="eastAsia"/>
                <w:sz w:val="24"/>
              </w:rPr>
              <w:t>和</w:t>
            </w:r>
            <w:bookmarkEnd w:id="2"/>
            <w:bookmarkEnd w:id="3"/>
            <w:r w:rsidR="00AB7540">
              <w:rPr>
                <w:rFonts w:ascii="仿宋_GB2312" w:eastAsia="仿宋_GB2312" w:hAnsi="仿宋_GB2312" w:hint="eastAsia"/>
                <w:sz w:val="24"/>
              </w:rPr>
              <w:t>北京</w:t>
            </w:r>
            <w:r w:rsidR="00AB7540" w:rsidRPr="00AB7540">
              <w:rPr>
                <w:rFonts w:ascii="仿宋_GB2312" w:eastAsia="仿宋_GB2312" w:hAnsi="仿宋_GB2312" w:hint="eastAsia"/>
                <w:sz w:val="24"/>
              </w:rPr>
              <w:t>证券交易所上市的股票</w:t>
            </w:r>
            <w:r w:rsidRPr="009B021D">
              <w:rPr>
                <w:rFonts w:ascii="仿宋_GB2312" w:eastAsia="仿宋_GB2312" w:hAnsi="仿宋_GB2312" w:hint="eastAsia"/>
                <w:sz w:val="24"/>
              </w:rPr>
              <w:t>。本基金的申购对价、赎回对价包括组合证券、现金替代、现金差额及其他对价。</w:t>
            </w:r>
          </w:p>
        </w:tc>
      </w:tr>
      <w:tr w:rsidR="00823EE4" w:rsidTr="008D065E">
        <w:trPr>
          <w:trHeight w:val="20"/>
          <w:jc w:val="center"/>
        </w:trPr>
        <w:tc>
          <w:tcPr>
            <w:tcW w:w="613" w:type="dxa"/>
            <w:vMerge w:val="restart"/>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14</w:t>
            </w:r>
          </w:p>
        </w:tc>
        <w:tc>
          <w:tcPr>
            <w:tcW w:w="2301" w:type="dxa"/>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指数名称</w:t>
            </w:r>
          </w:p>
        </w:tc>
        <w:tc>
          <w:tcPr>
            <w:tcW w:w="6012" w:type="dxa"/>
            <w:gridSpan w:val="5"/>
            <w:vAlign w:val="center"/>
          </w:tcPr>
          <w:p w:rsidR="00823EE4" w:rsidRDefault="00D62F43" w:rsidP="00823EE4">
            <w:pPr>
              <w:spacing w:line="360" w:lineRule="auto"/>
              <w:jc w:val="center"/>
              <w:rPr>
                <w:rFonts w:ascii="仿宋_GB2312" w:eastAsia="仿宋_GB2312" w:hAnsi="仿宋_GB2312"/>
                <w:sz w:val="24"/>
              </w:rPr>
            </w:pPr>
            <w:r>
              <w:rPr>
                <w:rFonts w:ascii="仿宋_GB2312" w:eastAsia="仿宋_GB2312" w:hAnsi="仿宋_GB2312" w:hint="eastAsia"/>
                <w:sz w:val="24"/>
              </w:rPr>
              <w:t>{{指数名称}}</w:t>
            </w:r>
            <w:r w:rsidR="00AB7540">
              <w:rPr>
                <w:rFonts w:ascii="仿宋_GB2312" w:eastAsia="仿宋_GB2312" w:hAnsi="仿宋_GB2312" w:hint="eastAsia"/>
                <w:sz w:val="24"/>
              </w:rPr>
              <w:t>指数</w:t>
            </w:r>
          </w:p>
        </w:tc>
      </w:tr>
      <w:tr w:rsidR="00823EE4" w:rsidRPr="00BF269A" w:rsidTr="008D065E">
        <w:trPr>
          <w:trHeight w:val="20"/>
          <w:jc w:val="center"/>
        </w:trPr>
        <w:tc>
          <w:tcPr>
            <w:tcW w:w="613" w:type="dxa"/>
            <w:vMerge/>
            <w:vAlign w:val="center"/>
          </w:tcPr>
          <w:p w:rsidR="00823EE4" w:rsidRDefault="00823EE4" w:rsidP="00823EE4">
            <w:pPr>
              <w:spacing w:line="360" w:lineRule="auto"/>
              <w:jc w:val="center"/>
              <w:rPr>
                <w:rFonts w:ascii="仿宋_GB2312" w:eastAsia="仿宋_GB2312" w:hAnsi="仿宋_GB2312"/>
                <w:b/>
                <w:sz w:val="24"/>
              </w:rPr>
            </w:pPr>
            <w:bookmarkStart w:id="4" w:name="_GoBack" w:colFirst="2" w:colLast="2"/>
          </w:p>
        </w:tc>
        <w:tc>
          <w:tcPr>
            <w:tcW w:w="2301" w:type="dxa"/>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指数编制方案</w:t>
            </w:r>
          </w:p>
        </w:tc>
        <w:tc>
          <w:tcPr>
            <w:tcW w:w="6012" w:type="dxa"/>
            <w:gridSpan w:val="5"/>
            <w:vAlign w:val="center"/>
          </w:tcPr>
          <w:p w:rsidR="00823EE4" w:rsidRPr="00F45153" w:rsidRDefault="00823EE4" w:rsidP="00C74DD0">
            <w:pPr>
              <w:spacing w:line="360" w:lineRule="auto"/>
              <w:rPr>
                <w:rFonts w:ascii="仿宋_GB2312" w:eastAsia="仿宋_GB2312" w:hAnsi="仿宋_GB2312"/>
                <w:sz w:val="24"/>
              </w:rPr>
            </w:pPr>
            <w:r>
              <w:rPr>
                <w:rFonts w:ascii="仿宋_GB2312" w:eastAsia="仿宋_GB2312" w:hAnsi="仿宋_GB2312" w:hint="eastAsia"/>
                <w:b/>
                <w:bCs/>
                <w:sz w:val="24"/>
              </w:rPr>
              <w:t>一、指数简介：</w:t>
            </w:r>
            <w:r w:rsidR="00D62F43">
              <w:rPr>
                <w:rFonts w:ascii="仿宋_GB2312" w:eastAsia="仿宋_GB2312" w:hAnsi="仿宋_GB2312" w:hint="eastAsia"/>
                <w:bCs/>
                <w:sz w:val="24"/>
              </w:rPr>
              <w:t>{{指数名称}}</w:t>
            </w:r>
            <w:r w:rsidRPr="0084536F">
              <w:rPr>
                <w:rFonts w:ascii="仿宋_GB2312" w:eastAsia="仿宋_GB2312" w:hAnsi="仿宋_GB2312"/>
                <w:bCs/>
                <w:sz w:val="24"/>
              </w:rPr>
              <w:t>指数</w:t>
            </w:r>
            <w:r w:rsidR="00D62F43">
              <w:rPr>
                <w:rFonts w:ascii="仿宋_GB2312" w:eastAsia="仿宋_GB2312" w:hAnsi="仿宋_GB2312" w:hint="eastAsia"/>
                <w:bCs/>
                <w:sz w:val="24"/>
              </w:rPr>
              <w:t>{{指数简介}}</w:t>
            </w:r>
            <w:r w:rsidRPr="0084536F">
              <w:rPr>
                <w:rFonts w:ascii="仿宋_GB2312" w:eastAsia="仿宋_GB2312" w:hAnsi="仿宋_GB2312"/>
                <w:bCs/>
                <w:sz w:val="24"/>
              </w:rPr>
              <w:t>。</w:t>
            </w:r>
          </w:p>
          <w:p w:rsidR="00823EE4" w:rsidRDefault="00823EE4" w:rsidP="00823EE4">
            <w:pPr>
              <w:spacing w:line="360" w:lineRule="auto"/>
              <w:jc w:val="left"/>
              <w:rPr>
                <w:rFonts w:ascii="仿宋_GB2312" w:eastAsia="仿宋_GB2312" w:hAnsi="仿宋_GB2312"/>
                <w:b/>
                <w:bCs/>
                <w:sz w:val="24"/>
              </w:rPr>
            </w:pPr>
            <w:r w:rsidRPr="000B5ED6">
              <w:rPr>
                <w:rFonts w:ascii="仿宋_GB2312" w:eastAsia="仿宋_GB2312" w:hAnsi="仿宋_GB2312" w:hint="eastAsia"/>
                <w:b/>
                <w:bCs/>
                <w:sz w:val="24"/>
              </w:rPr>
              <w:t>二、</w:t>
            </w:r>
            <w:r>
              <w:rPr>
                <w:rFonts w:ascii="仿宋_GB2312" w:eastAsia="仿宋_GB2312" w:hAnsi="仿宋_GB2312" w:hint="eastAsia"/>
                <w:b/>
                <w:bCs/>
                <w:sz w:val="24"/>
              </w:rPr>
              <w:t>指数发布时间</w:t>
            </w:r>
            <w:r w:rsidRPr="004C623D">
              <w:rPr>
                <w:rFonts w:ascii="仿宋_GB2312" w:eastAsia="仿宋_GB2312" w:hAnsi="仿宋_GB2312" w:hint="eastAsia"/>
                <w:bCs/>
                <w:sz w:val="24"/>
              </w:rPr>
              <w:t>：</w:t>
            </w:r>
            <w:r w:rsidR="00D62F43">
              <w:rPr>
                <w:rFonts w:ascii="仿宋_GB2312" w:eastAsia="仿宋_GB2312" w:hAnsi="仿宋_GB2312" w:hint="eastAsia"/>
                <w:bCs/>
                <w:sz w:val="24"/>
              </w:rPr>
              <w:t>{{指数发布日期}}</w:t>
            </w:r>
            <w:r>
              <w:rPr>
                <w:rFonts w:ascii="仿宋_GB2312" w:eastAsia="仿宋_GB2312" w:hAnsi="仿宋_GB2312"/>
                <w:bCs/>
                <w:sz w:val="24"/>
              </w:rPr>
              <w:t>。</w:t>
            </w:r>
          </w:p>
          <w:p w:rsidR="00823EE4" w:rsidRPr="00F45153" w:rsidRDefault="00823EE4" w:rsidP="00823EE4">
            <w:pPr>
              <w:spacing w:line="360" w:lineRule="auto"/>
              <w:jc w:val="left"/>
              <w:rPr>
                <w:rFonts w:ascii="仿宋_GB2312" w:eastAsia="仿宋_GB2312" w:hAnsi="仿宋_GB2312"/>
                <w:sz w:val="24"/>
              </w:rPr>
            </w:pPr>
            <w:r>
              <w:rPr>
                <w:rFonts w:ascii="仿宋_GB2312" w:eastAsia="仿宋_GB2312" w:hAnsi="仿宋_GB2312" w:hint="eastAsia"/>
                <w:b/>
                <w:bCs/>
                <w:sz w:val="24"/>
              </w:rPr>
              <w:t>三、</w:t>
            </w:r>
            <w:r w:rsidRPr="000B5ED6">
              <w:rPr>
                <w:rFonts w:ascii="仿宋_GB2312" w:eastAsia="仿宋_GB2312" w:hAnsi="仿宋_GB2312" w:hint="eastAsia"/>
                <w:b/>
                <w:bCs/>
                <w:sz w:val="24"/>
              </w:rPr>
              <w:t>指数基日和基点</w:t>
            </w:r>
            <w:r w:rsidRPr="004C623D">
              <w:rPr>
                <w:rFonts w:ascii="仿宋_GB2312" w:eastAsia="仿宋_GB2312" w:hAnsi="仿宋_GB2312" w:hint="eastAsia"/>
                <w:bCs/>
                <w:sz w:val="24"/>
              </w:rPr>
              <w:t>：</w:t>
            </w:r>
            <w:r w:rsidRPr="006F4763">
              <w:rPr>
                <w:rFonts w:ascii="仿宋_GB2312" w:eastAsia="仿宋_GB2312" w:hAnsi="仿宋_GB2312" w:hint="eastAsia"/>
                <w:bCs/>
                <w:sz w:val="24"/>
              </w:rPr>
              <w:t>该指数以</w:t>
            </w:r>
            <w:r w:rsidR="00D62F43">
              <w:rPr>
                <w:rFonts w:ascii="仿宋_GB2312" w:eastAsia="仿宋_GB2312" w:hAnsi="仿宋_GB2312" w:hint="eastAsia"/>
                <w:bCs/>
                <w:sz w:val="24"/>
              </w:rPr>
              <w:t>{{指数基日}}</w:t>
            </w:r>
            <w:r w:rsidR="00617D02" w:rsidRPr="00617D02">
              <w:rPr>
                <w:rFonts w:ascii="仿宋_GB2312" w:eastAsia="仿宋_GB2312" w:hAnsi="仿宋_GB2312"/>
                <w:bCs/>
                <w:sz w:val="24"/>
              </w:rPr>
              <w:cr/>
            </w:r>
            <w:r w:rsidR="00097F5F" w:rsidRPr="00097F5F">
              <w:rPr>
                <w:rFonts w:ascii="仿宋_GB2312" w:eastAsia="仿宋_GB2312" w:hAnsi="仿宋_GB2312" w:hint="eastAsia"/>
                <w:bCs/>
                <w:sz w:val="24"/>
              </w:rPr>
              <w:t>为基日，以</w:t>
            </w:r>
            <w:r w:rsidR="00D62F43">
              <w:rPr>
                <w:rFonts w:ascii="仿宋_GB2312" w:eastAsia="仿宋_GB2312" w:hAnsi="仿宋_GB2312" w:hint="eastAsia"/>
                <w:bCs/>
                <w:sz w:val="24"/>
              </w:rPr>
              <w:t>{{指数基点}}</w:t>
            </w:r>
            <w:r w:rsidR="00097F5F" w:rsidRPr="00097F5F">
              <w:rPr>
                <w:rFonts w:ascii="仿宋_GB2312" w:eastAsia="仿宋_GB2312" w:hAnsi="仿宋_GB2312" w:hint="eastAsia"/>
                <w:bCs/>
                <w:sz w:val="24"/>
              </w:rPr>
              <w:t>点为基点</w:t>
            </w:r>
            <w:r w:rsidRPr="006F4763">
              <w:rPr>
                <w:rFonts w:ascii="仿宋_GB2312" w:eastAsia="仿宋_GB2312" w:hAnsi="仿宋_GB2312" w:hint="eastAsia"/>
                <w:bCs/>
                <w:sz w:val="24"/>
              </w:rPr>
              <w:t>。</w:t>
            </w:r>
          </w:p>
          <w:p w:rsidR="00823EE4" w:rsidRPr="00D62F43" w:rsidRDefault="00823EE4" w:rsidP="00823EE4">
            <w:pPr>
              <w:spacing w:line="360" w:lineRule="auto"/>
              <w:jc w:val="left"/>
              <w:rPr>
                <w:rFonts w:ascii="仿宋_GB2312" w:eastAsia="仿宋_GB2312" w:hAnsi="仿宋_GB2312"/>
                <w:sz w:val="24"/>
              </w:rPr>
            </w:pPr>
            <w:r w:rsidRPr="007659A7">
              <w:rPr>
                <w:rFonts w:ascii="仿宋_GB2312" w:eastAsia="仿宋_GB2312" w:hAnsi="仿宋_GB2312" w:hint="eastAsia"/>
                <w:b/>
                <w:sz w:val="24"/>
              </w:rPr>
              <w:t>四</w:t>
            </w:r>
            <w:r w:rsidRPr="007659A7">
              <w:rPr>
                <w:rFonts w:ascii="仿宋_GB2312" w:eastAsia="仿宋_GB2312" w:hAnsi="仿宋_GB2312"/>
                <w:b/>
                <w:sz w:val="24"/>
              </w:rPr>
              <w:t>、</w:t>
            </w:r>
            <w:r w:rsidRPr="007659A7">
              <w:rPr>
                <w:rFonts w:ascii="仿宋_GB2312" w:eastAsia="仿宋_GB2312" w:hAnsi="仿宋_GB2312" w:hint="eastAsia"/>
                <w:b/>
                <w:sz w:val="24"/>
              </w:rPr>
              <w:t>成份股数量：</w:t>
            </w:r>
            <w:r w:rsidR="00D62F43" w:rsidRPr="00D62F43">
              <w:rPr>
                <w:rFonts w:ascii="仿宋_GB2312" w:eastAsia="仿宋_GB2312" w:hAnsi="仿宋_GB2312" w:hint="eastAsia"/>
                <w:sz w:val="24"/>
              </w:rPr>
              <w:t>{{成分股数量}}</w:t>
            </w:r>
          </w:p>
          <w:p w:rsidR="00823EE4" w:rsidRDefault="00823EE4" w:rsidP="00823EE4">
            <w:pPr>
              <w:spacing w:line="360" w:lineRule="auto"/>
              <w:jc w:val="left"/>
              <w:rPr>
                <w:rFonts w:ascii="仿宋_GB2312" w:eastAsia="仿宋_GB2312" w:hAnsi="仿宋_GB2312"/>
                <w:b/>
                <w:bCs/>
                <w:sz w:val="24"/>
              </w:rPr>
            </w:pPr>
            <w:r>
              <w:rPr>
                <w:rFonts w:ascii="仿宋_GB2312" w:eastAsia="仿宋_GB2312" w:hAnsi="仿宋_GB2312" w:hint="eastAsia"/>
                <w:b/>
                <w:bCs/>
                <w:sz w:val="24"/>
              </w:rPr>
              <w:t>五</w:t>
            </w:r>
            <w:r w:rsidRPr="000B5ED6">
              <w:rPr>
                <w:rFonts w:ascii="仿宋_GB2312" w:eastAsia="仿宋_GB2312" w:hAnsi="仿宋_GB2312" w:hint="eastAsia"/>
                <w:b/>
                <w:bCs/>
                <w:sz w:val="24"/>
              </w:rPr>
              <w:t>、样本选取方法</w:t>
            </w:r>
          </w:p>
          <w:p w:rsidR="00962B08" w:rsidRDefault="00AC1133" w:rsidP="00C57E76">
            <w:pPr>
              <w:spacing w:line="360" w:lineRule="auto"/>
              <w:rPr>
                <w:rFonts w:ascii="仿宋_GB2312" w:eastAsia="仿宋_GB2312" w:hAnsi="仿宋_GB2312"/>
                <w:sz w:val="24"/>
              </w:rPr>
            </w:pPr>
            <w:r w:rsidRPr="003825BB">
              <w:rPr>
                <w:rFonts w:ascii="仿宋_GB2312" w:eastAsia="仿宋_GB2312" w:hAnsi="仿宋_GB2312"/>
                <w:b/>
                <w:sz w:val="24"/>
              </w:rPr>
              <w:t>1</w:t>
            </w:r>
            <w:r w:rsidRPr="003825BB">
              <w:rPr>
                <w:rFonts w:ascii="仿宋_GB2312" w:eastAsia="仿宋_GB2312" w:hAnsi="仿宋_GB2312" w:hint="eastAsia"/>
                <w:b/>
                <w:sz w:val="24"/>
              </w:rPr>
              <w:t>、</w:t>
            </w:r>
            <w:r w:rsidR="007E3649">
              <w:rPr>
                <w:rFonts w:ascii="仿宋_GB2312" w:eastAsia="仿宋_GB2312" w:hAnsi="仿宋_GB2312" w:hint="eastAsia"/>
                <w:b/>
                <w:sz w:val="24"/>
              </w:rPr>
              <w:t>样本</w:t>
            </w:r>
            <w:r w:rsidRPr="003825BB">
              <w:rPr>
                <w:rFonts w:ascii="仿宋_GB2312" w:eastAsia="仿宋_GB2312" w:hAnsi="仿宋_GB2312" w:hint="eastAsia"/>
                <w:b/>
                <w:sz w:val="24"/>
              </w:rPr>
              <w:t>空间：</w:t>
            </w:r>
            <w:r w:rsidR="00D62F43" w:rsidRPr="00D62F43">
              <w:rPr>
                <w:rFonts w:ascii="仿宋_GB2312" w:eastAsia="仿宋_GB2312" w:hAnsi="仿宋_GB2312" w:hint="eastAsia"/>
                <w:sz w:val="24"/>
              </w:rPr>
              <w:t>{{样本空间}}</w:t>
            </w:r>
            <w:r w:rsidR="003A4DFA">
              <w:rPr>
                <w:rFonts w:ascii="仿宋_GB2312" w:eastAsia="仿宋_GB2312" w:hAnsi="仿宋_GB2312" w:hint="eastAsia"/>
                <w:sz w:val="24"/>
              </w:rPr>
              <w:t>。</w:t>
            </w:r>
          </w:p>
          <w:p w:rsidR="00B30FE8" w:rsidRPr="003A4DFA" w:rsidRDefault="00F700A9" w:rsidP="00246BA0">
            <w:pPr>
              <w:spacing w:line="360" w:lineRule="auto"/>
              <w:rPr>
                <w:rFonts w:ascii="仿宋_GB2312" w:eastAsia="仿宋_GB2312" w:hAnsi="仿宋_GB2312"/>
                <w:sz w:val="24"/>
              </w:rPr>
            </w:pPr>
            <w:r w:rsidRPr="003825BB">
              <w:rPr>
                <w:rFonts w:ascii="仿宋_GB2312" w:eastAsia="仿宋_GB2312" w:hAnsi="仿宋_GB2312" w:hint="eastAsia"/>
                <w:b/>
                <w:sz w:val="24"/>
              </w:rPr>
              <w:t>2</w:t>
            </w:r>
            <w:r w:rsidR="00824EA0" w:rsidRPr="003825BB">
              <w:rPr>
                <w:rFonts w:ascii="仿宋_GB2312" w:eastAsia="仿宋_GB2312" w:hAnsi="仿宋_GB2312" w:hint="eastAsia"/>
                <w:b/>
                <w:sz w:val="24"/>
              </w:rPr>
              <w:t>、</w:t>
            </w:r>
            <w:r w:rsidR="00A3215D" w:rsidRPr="00A3215D">
              <w:rPr>
                <w:rFonts w:ascii="仿宋_GB2312" w:eastAsia="仿宋_GB2312" w:hAnsi="仿宋_GB2312" w:hint="eastAsia"/>
                <w:b/>
                <w:sz w:val="24"/>
              </w:rPr>
              <w:t>可投资性筛选</w:t>
            </w:r>
            <w:r w:rsidR="0099749E">
              <w:rPr>
                <w:rFonts w:ascii="仿宋_GB2312" w:eastAsia="仿宋_GB2312" w:hAnsi="仿宋_GB2312" w:hint="eastAsia"/>
                <w:b/>
                <w:sz w:val="24"/>
              </w:rPr>
              <w:t>：</w:t>
            </w:r>
            <w:r w:rsidR="00D62F43" w:rsidRPr="00D62F43">
              <w:rPr>
                <w:rFonts w:ascii="仿宋_GB2312" w:eastAsia="仿宋_GB2312" w:hAnsi="仿宋_GB2312" w:hint="eastAsia"/>
                <w:sz w:val="24"/>
              </w:rPr>
              <w:t>{{可投资性筛选}}</w:t>
            </w:r>
            <w:r w:rsidR="004651F7" w:rsidRPr="003A4DFA">
              <w:rPr>
                <w:rFonts w:ascii="仿宋_GB2312" w:eastAsia="仿宋_GB2312" w:hAnsi="仿宋_GB2312" w:hint="eastAsia"/>
                <w:sz w:val="24"/>
              </w:rPr>
              <w:t>。</w:t>
            </w:r>
          </w:p>
          <w:p w:rsidR="00D813C2" w:rsidRDefault="00B30FE8" w:rsidP="00AA602B">
            <w:pPr>
              <w:spacing w:line="360" w:lineRule="auto"/>
              <w:rPr>
                <w:rFonts w:ascii="仿宋_GB2312" w:eastAsia="仿宋_GB2312" w:hAnsi="仿宋_GB2312"/>
                <w:b/>
                <w:sz w:val="24"/>
              </w:rPr>
            </w:pPr>
            <w:r>
              <w:rPr>
                <w:rFonts w:ascii="仿宋_GB2312" w:eastAsia="仿宋_GB2312" w:hAnsi="仿宋_GB2312" w:hint="eastAsia"/>
                <w:b/>
                <w:sz w:val="24"/>
              </w:rPr>
              <w:t>3、</w:t>
            </w:r>
            <w:r w:rsidR="00407936" w:rsidRPr="003825BB">
              <w:rPr>
                <w:rFonts w:ascii="仿宋_GB2312" w:eastAsia="仿宋_GB2312" w:hAnsi="仿宋_GB2312" w:hint="eastAsia"/>
                <w:b/>
                <w:sz w:val="24"/>
              </w:rPr>
              <w:t>选样方法：</w:t>
            </w:r>
          </w:p>
          <w:p w:rsidR="00D94F27" w:rsidRDefault="00D62F43" w:rsidP="00D94F27">
            <w:pPr>
              <w:spacing w:line="360" w:lineRule="auto"/>
              <w:rPr>
                <w:rFonts w:ascii="仿宋_GB2312" w:eastAsia="仿宋_GB2312" w:hAnsi="仿宋_GB2312"/>
                <w:sz w:val="24"/>
              </w:rPr>
            </w:pPr>
            <w:r>
              <w:rPr>
                <w:rFonts w:ascii="仿宋_GB2312" w:eastAsia="仿宋_GB2312" w:hAnsi="仿宋_GB2312" w:hint="eastAsia"/>
                <w:sz w:val="24"/>
              </w:rPr>
              <w:t>{{选样方法}}</w:t>
            </w:r>
            <w:r w:rsidR="00AB7540" w:rsidRPr="00AB7540">
              <w:rPr>
                <w:rFonts w:ascii="仿宋_GB2312" w:eastAsia="仿宋_GB2312" w:hAnsi="仿宋_GB2312" w:hint="eastAsia"/>
                <w:sz w:val="24"/>
              </w:rPr>
              <w:t>。</w:t>
            </w:r>
          </w:p>
          <w:p w:rsidR="00332E7D" w:rsidRPr="00AE062B" w:rsidRDefault="00332E7D" w:rsidP="00D94F27">
            <w:pPr>
              <w:spacing w:line="360" w:lineRule="auto"/>
              <w:rPr>
                <w:rFonts w:ascii="仿宋_GB2312" w:eastAsia="仿宋_GB2312" w:hAnsi="仿宋_GB2312"/>
                <w:b/>
                <w:bCs/>
                <w:sz w:val="24"/>
              </w:rPr>
            </w:pPr>
            <w:r>
              <w:rPr>
                <w:rFonts w:ascii="仿宋_GB2312" w:eastAsia="仿宋_GB2312" w:hAnsi="仿宋_GB2312" w:hint="eastAsia"/>
                <w:b/>
                <w:bCs/>
                <w:sz w:val="24"/>
              </w:rPr>
              <w:t>六、成份股权重分布（截至</w:t>
            </w:r>
            <w:r w:rsidR="00D4305A">
              <w:rPr>
                <w:rFonts w:ascii="仿宋_GB2312" w:eastAsia="仿宋_GB2312" w:hAnsi="仿宋_GB2312" w:hint="eastAsia"/>
                <w:b/>
                <w:bCs/>
                <w:sz w:val="24"/>
              </w:rPr>
              <w:t>{{数据截止日期}}</w:t>
            </w:r>
            <w:r>
              <w:rPr>
                <w:rFonts w:ascii="仿宋_GB2312" w:eastAsia="仿宋_GB2312" w:hAnsi="仿宋_GB2312" w:hint="eastAsia"/>
                <w:b/>
                <w:bCs/>
                <w:sz w:val="24"/>
              </w:rPr>
              <w:t>）：</w:t>
            </w:r>
          </w:p>
          <w:p w:rsidR="00332E7D" w:rsidRPr="00AE062B" w:rsidRDefault="00332E7D" w:rsidP="00332E7D">
            <w:pPr>
              <w:spacing w:line="360" w:lineRule="auto"/>
              <w:rPr>
                <w:rFonts w:ascii="仿宋_GB2312" w:eastAsia="仿宋_GB2312" w:hAnsi="仿宋_GB2312"/>
                <w:sz w:val="24"/>
              </w:rPr>
            </w:pPr>
            <w:r w:rsidRPr="00AE062B">
              <w:rPr>
                <w:rFonts w:ascii="仿宋_GB2312" w:eastAsia="仿宋_GB2312" w:hAnsi="仿宋_GB2312" w:hint="eastAsia"/>
                <w:sz w:val="24"/>
              </w:rPr>
              <w:t>1、最大成份股权重及名称：</w:t>
            </w:r>
            <w:r w:rsidR="000040E2">
              <w:rPr>
                <w:rFonts w:ascii="仿宋_GB2312" w:eastAsia="仿宋_GB2312" w:hAnsi="仿宋_GB2312"/>
                <w:sz w:val="24"/>
              </w:rPr>
              <w:t>10.95</w:t>
            </w:r>
            <w:r w:rsidRPr="008015F0">
              <w:rPr>
                <w:rFonts w:ascii="仿宋_GB2312" w:eastAsia="仿宋_GB2312" w:hAnsi="仿宋_GB2312"/>
                <w:sz w:val="24"/>
              </w:rPr>
              <w:t>%</w:t>
            </w:r>
            <w:r w:rsidR="000040E2">
              <w:rPr>
                <w:rFonts w:ascii="仿宋_GB2312" w:eastAsia="仿宋_GB2312" w:hAnsi="仿宋_GB2312" w:hint="eastAsia"/>
                <w:sz w:val="24"/>
              </w:rPr>
              <w:t>，</w:t>
            </w:r>
            <w:r w:rsidR="000040E2" w:rsidRPr="000040E2">
              <w:rPr>
                <w:rFonts w:ascii="仿宋_GB2312" w:eastAsia="仿宋_GB2312" w:hAnsi="仿宋_GB2312" w:hint="eastAsia"/>
                <w:sz w:val="24"/>
              </w:rPr>
              <w:t>特变电工</w:t>
            </w:r>
            <w:r w:rsidRPr="00AE062B">
              <w:rPr>
                <w:rFonts w:ascii="仿宋_GB2312" w:eastAsia="仿宋_GB2312" w:hAnsi="仿宋_GB2312" w:hint="eastAsia"/>
                <w:sz w:val="24"/>
              </w:rPr>
              <w:t>；</w:t>
            </w:r>
          </w:p>
          <w:p w:rsidR="00332E7D" w:rsidRPr="00AE062B" w:rsidRDefault="00332E7D" w:rsidP="00332E7D">
            <w:pPr>
              <w:spacing w:line="360" w:lineRule="auto"/>
              <w:rPr>
                <w:rFonts w:ascii="仿宋_GB2312" w:eastAsia="仿宋_GB2312" w:hAnsi="仿宋_GB2312"/>
                <w:sz w:val="24"/>
              </w:rPr>
            </w:pPr>
            <w:r w:rsidRPr="00AE062B">
              <w:rPr>
                <w:rFonts w:ascii="仿宋_GB2312" w:eastAsia="仿宋_GB2312" w:hAnsi="仿宋_GB2312" w:hint="eastAsia"/>
                <w:sz w:val="24"/>
              </w:rPr>
              <w:t>2、前五大成份股权重合计：</w:t>
            </w:r>
            <w:r w:rsidR="000040E2">
              <w:rPr>
                <w:rFonts w:ascii="仿宋_GB2312" w:eastAsia="仿宋_GB2312" w:hAnsi="仿宋_GB2312"/>
                <w:sz w:val="24"/>
              </w:rPr>
              <w:t>40.76</w:t>
            </w:r>
            <w:r w:rsidRPr="008015F0">
              <w:rPr>
                <w:rFonts w:ascii="仿宋_GB2312" w:eastAsia="仿宋_GB2312" w:hAnsi="仿宋_GB2312"/>
                <w:sz w:val="24"/>
              </w:rPr>
              <w:t>%</w:t>
            </w:r>
            <w:r>
              <w:rPr>
                <w:rFonts w:ascii="仿宋_GB2312" w:eastAsia="仿宋_GB2312" w:hAnsi="仿宋_GB2312" w:hint="eastAsia"/>
                <w:sz w:val="24"/>
              </w:rPr>
              <w:t>。</w:t>
            </w:r>
          </w:p>
          <w:p w:rsidR="00332E7D" w:rsidRPr="00AE062B" w:rsidRDefault="00332E7D" w:rsidP="00332E7D">
            <w:pPr>
              <w:spacing w:line="360" w:lineRule="auto"/>
              <w:rPr>
                <w:rFonts w:ascii="仿宋_GB2312" w:eastAsia="仿宋_GB2312" w:hAnsi="仿宋_GB2312"/>
                <w:b/>
                <w:bCs/>
                <w:sz w:val="24"/>
              </w:rPr>
            </w:pPr>
            <w:r>
              <w:rPr>
                <w:rFonts w:ascii="仿宋_GB2312" w:eastAsia="仿宋_GB2312" w:hAnsi="仿宋_GB2312" w:hint="eastAsia"/>
                <w:b/>
                <w:bCs/>
                <w:sz w:val="24"/>
              </w:rPr>
              <w:t>七、各个市场最近一年日均成交金额最小成份股名称及</w:t>
            </w:r>
            <w:r>
              <w:rPr>
                <w:rFonts w:ascii="仿宋_GB2312" w:eastAsia="仿宋_GB2312" w:hAnsi="仿宋_GB2312" w:hint="eastAsia"/>
                <w:b/>
                <w:bCs/>
                <w:sz w:val="24"/>
              </w:rPr>
              <w:lastRenderedPageBreak/>
              <w:t>金额（截至</w:t>
            </w:r>
            <w:r w:rsidR="00D4305A">
              <w:rPr>
                <w:rFonts w:ascii="仿宋_GB2312" w:eastAsia="仿宋_GB2312" w:hAnsi="仿宋_GB2312" w:hint="eastAsia"/>
                <w:b/>
                <w:bCs/>
                <w:sz w:val="24"/>
              </w:rPr>
              <w:t>{{数据截止日期}}</w:t>
            </w:r>
            <w:r>
              <w:rPr>
                <w:rFonts w:ascii="仿宋_GB2312" w:eastAsia="仿宋_GB2312" w:hAnsi="仿宋_GB2312" w:hint="eastAsia"/>
                <w:b/>
                <w:bCs/>
                <w:sz w:val="24"/>
              </w:rPr>
              <w:t>）：</w:t>
            </w:r>
          </w:p>
          <w:p w:rsidR="00332E7D" w:rsidRDefault="002860B6" w:rsidP="00332E7D">
            <w:pPr>
              <w:spacing w:line="360" w:lineRule="auto"/>
              <w:rPr>
                <w:rFonts w:ascii="仿宋_GB2312" w:eastAsia="仿宋_GB2312" w:hAnsi="仿宋_GB2312"/>
                <w:sz w:val="24"/>
              </w:rPr>
            </w:pPr>
            <w:r>
              <w:rPr>
                <w:rFonts w:ascii="仿宋_GB2312" w:eastAsia="仿宋_GB2312" w:hAnsi="仿宋_GB2312" w:hint="eastAsia"/>
                <w:sz w:val="24"/>
              </w:rPr>
              <w:t>1、上海</w:t>
            </w:r>
            <w:r w:rsidR="00332E7D">
              <w:rPr>
                <w:rFonts w:ascii="仿宋_GB2312" w:eastAsia="仿宋_GB2312" w:hAnsi="仿宋_GB2312" w:hint="eastAsia"/>
                <w:sz w:val="24"/>
              </w:rPr>
              <w:t>：</w:t>
            </w:r>
            <w:r w:rsidR="000040E2" w:rsidRPr="000040E2">
              <w:rPr>
                <w:rFonts w:ascii="仿宋_GB2312" w:eastAsia="仿宋_GB2312" w:hAnsi="仿宋_GB2312" w:hint="eastAsia"/>
                <w:sz w:val="24"/>
              </w:rPr>
              <w:t>风范股份</w:t>
            </w:r>
            <w:r w:rsidR="00332E7D">
              <w:rPr>
                <w:rFonts w:ascii="仿宋_GB2312" w:eastAsia="仿宋_GB2312" w:hAnsi="仿宋_GB2312" w:hint="eastAsia"/>
                <w:sz w:val="24"/>
              </w:rPr>
              <w:t>（</w:t>
            </w:r>
            <w:r w:rsidR="000040E2" w:rsidRPr="000040E2">
              <w:rPr>
                <w:rFonts w:ascii="仿宋_GB2312" w:eastAsia="仿宋_GB2312" w:hAnsi="仿宋_GB2312"/>
                <w:sz w:val="24"/>
              </w:rPr>
              <w:t>601700</w:t>
            </w:r>
            <w:r w:rsidR="00E15ED0">
              <w:rPr>
                <w:rFonts w:ascii="仿宋_GB2312" w:eastAsia="仿宋_GB2312" w:hAnsi="仿宋_GB2312" w:hint="eastAsia"/>
                <w:sz w:val="24"/>
              </w:rPr>
              <w:t>）</w:t>
            </w:r>
            <w:r w:rsidR="00332E7D" w:rsidRPr="00085A7B">
              <w:rPr>
                <w:rFonts w:ascii="仿宋_GB2312" w:eastAsia="仿宋_GB2312" w:hAnsi="仿宋_GB2312" w:hint="eastAsia"/>
                <w:sz w:val="24"/>
              </w:rPr>
              <w:t>，</w:t>
            </w:r>
            <w:r w:rsidR="000040E2">
              <w:rPr>
                <w:rFonts w:ascii="仿宋_GB2312" w:eastAsia="仿宋_GB2312" w:hAnsi="仿宋_GB2312"/>
                <w:sz w:val="24"/>
              </w:rPr>
              <w:t>0.66</w:t>
            </w:r>
            <w:r w:rsidR="00332E7D" w:rsidRPr="00085A7B">
              <w:rPr>
                <w:rFonts w:ascii="仿宋_GB2312" w:eastAsia="仿宋_GB2312" w:hAnsi="仿宋_GB2312" w:hint="eastAsia"/>
                <w:sz w:val="24"/>
              </w:rPr>
              <w:t>亿</w:t>
            </w:r>
            <w:r w:rsidR="005B4F32">
              <w:rPr>
                <w:rFonts w:ascii="仿宋_GB2312" w:eastAsia="仿宋_GB2312" w:hAnsi="仿宋_GB2312" w:hint="eastAsia"/>
                <w:sz w:val="24"/>
              </w:rPr>
              <w:t>元</w:t>
            </w:r>
            <w:r w:rsidR="00F719C0">
              <w:rPr>
                <w:rFonts w:ascii="仿宋_GB2312" w:eastAsia="仿宋_GB2312" w:hAnsi="仿宋_GB2312" w:hint="eastAsia"/>
                <w:sz w:val="24"/>
              </w:rPr>
              <w:t>；</w:t>
            </w:r>
          </w:p>
          <w:p w:rsidR="00AB7540" w:rsidRDefault="00F719C0">
            <w:pPr>
              <w:spacing w:line="360" w:lineRule="auto"/>
              <w:rPr>
                <w:rFonts w:ascii="仿宋_GB2312" w:eastAsia="仿宋_GB2312" w:hAnsi="仿宋_GB2312"/>
                <w:sz w:val="24"/>
              </w:rPr>
            </w:pPr>
            <w:r>
              <w:rPr>
                <w:rFonts w:ascii="仿宋_GB2312" w:eastAsia="仿宋_GB2312" w:hAnsi="仿宋_GB2312" w:hint="eastAsia"/>
                <w:sz w:val="24"/>
              </w:rPr>
              <w:t>2、</w:t>
            </w:r>
            <w:bookmarkStart w:id="5" w:name="OLE_LINK10"/>
            <w:r w:rsidR="00110350">
              <w:rPr>
                <w:rFonts w:ascii="仿宋_GB2312" w:eastAsia="仿宋_GB2312" w:hAnsi="仿宋_GB2312" w:hint="eastAsia"/>
                <w:sz w:val="24"/>
              </w:rPr>
              <w:t>深圳</w:t>
            </w:r>
            <w:r w:rsidR="00A51296">
              <w:rPr>
                <w:rFonts w:ascii="仿宋_GB2312" w:eastAsia="仿宋_GB2312" w:hAnsi="仿宋_GB2312" w:hint="eastAsia"/>
                <w:sz w:val="24"/>
              </w:rPr>
              <w:t>：</w:t>
            </w:r>
            <w:bookmarkStart w:id="6" w:name="OLE_LINK11"/>
            <w:bookmarkStart w:id="7" w:name="OLE_LINK12"/>
            <w:r w:rsidR="000040E2" w:rsidRPr="000040E2">
              <w:rPr>
                <w:rFonts w:ascii="仿宋_GB2312" w:eastAsia="仿宋_GB2312" w:hAnsi="仿宋_GB2312" w:hint="eastAsia"/>
                <w:sz w:val="24"/>
              </w:rPr>
              <w:t>友讯达</w:t>
            </w:r>
            <w:r w:rsidR="00E15ED0" w:rsidRPr="00E15ED0">
              <w:rPr>
                <w:rFonts w:ascii="仿宋_GB2312" w:eastAsia="仿宋_GB2312" w:hAnsi="仿宋_GB2312" w:hint="eastAsia"/>
                <w:sz w:val="24"/>
              </w:rPr>
              <w:t>（</w:t>
            </w:r>
            <w:r w:rsidR="000040E2" w:rsidRPr="000040E2">
              <w:rPr>
                <w:rFonts w:ascii="仿宋_GB2312" w:eastAsia="仿宋_GB2312" w:hAnsi="仿宋_GB2312"/>
                <w:sz w:val="24"/>
              </w:rPr>
              <w:t>300514</w:t>
            </w:r>
            <w:r w:rsidR="00E15ED0" w:rsidRPr="00E15ED0">
              <w:rPr>
                <w:rFonts w:ascii="仿宋_GB2312" w:eastAsia="仿宋_GB2312" w:hAnsi="仿宋_GB2312" w:hint="eastAsia"/>
                <w:sz w:val="24"/>
              </w:rPr>
              <w:t>），</w:t>
            </w:r>
            <w:r w:rsidR="000040E2">
              <w:rPr>
                <w:rFonts w:ascii="仿宋_GB2312" w:eastAsia="仿宋_GB2312" w:hAnsi="仿宋_GB2312"/>
                <w:sz w:val="24"/>
              </w:rPr>
              <w:t>0.79</w:t>
            </w:r>
            <w:r w:rsidR="00E15ED0" w:rsidRPr="00E15ED0">
              <w:rPr>
                <w:rFonts w:ascii="仿宋_GB2312" w:eastAsia="仿宋_GB2312" w:hAnsi="仿宋_GB2312" w:hint="eastAsia"/>
                <w:sz w:val="24"/>
              </w:rPr>
              <w:t>亿元</w:t>
            </w:r>
            <w:bookmarkEnd w:id="5"/>
            <w:bookmarkEnd w:id="6"/>
            <w:bookmarkEnd w:id="7"/>
            <w:r w:rsidR="00AB7540">
              <w:rPr>
                <w:rFonts w:ascii="仿宋_GB2312" w:eastAsia="仿宋_GB2312" w:hAnsi="仿宋_GB2312" w:hint="eastAsia"/>
                <w:sz w:val="24"/>
              </w:rPr>
              <w:t>；</w:t>
            </w:r>
          </w:p>
          <w:p w:rsidR="00AB7540" w:rsidRDefault="00AB7540">
            <w:pPr>
              <w:spacing w:line="360" w:lineRule="auto"/>
              <w:rPr>
                <w:rFonts w:ascii="仿宋_GB2312" w:eastAsia="仿宋_GB2312" w:hAnsi="仿宋_GB2312"/>
                <w:sz w:val="24"/>
              </w:rPr>
            </w:pPr>
            <w:r>
              <w:rPr>
                <w:rFonts w:ascii="仿宋_GB2312" w:eastAsia="仿宋_GB2312" w:hAnsi="仿宋_GB2312" w:hint="eastAsia"/>
                <w:sz w:val="24"/>
              </w:rPr>
              <w:t>3、北京：</w:t>
            </w:r>
            <w:proofErr w:type="gramStart"/>
            <w:r w:rsidR="000040E2" w:rsidRPr="000040E2">
              <w:rPr>
                <w:rFonts w:ascii="仿宋_GB2312" w:eastAsia="仿宋_GB2312" w:hAnsi="仿宋_GB2312" w:hint="eastAsia"/>
                <w:sz w:val="24"/>
              </w:rPr>
              <w:t>殷图网</w:t>
            </w:r>
            <w:proofErr w:type="gramEnd"/>
            <w:r w:rsidR="000040E2" w:rsidRPr="000040E2">
              <w:rPr>
                <w:rFonts w:ascii="仿宋_GB2312" w:eastAsia="仿宋_GB2312" w:hAnsi="仿宋_GB2312" w:hint="eastAsia"/>
                <w:sz w:val="24"/>
              </w:rPr>
              <w:t>联</w:t>
            </w:r>
            <w:r w:rsidRPr="00AB7540">
              <w:rPr>
                <w:rFonts w:ascii="仿宋_GB2312" w:eastAsia="仿宋_GB2312" w:hAnsi="仿宋_GB2312" w:hint="eastAsia"/>
                <w:sz w:val="24"/>
              </w:rPr>
              <w:t>（</w:t>
            </w:r>
            <w:r w:rsidR="000040E2">
              <w:rPr>
                <w:rFonts w:ascii="仿宋_GB2312" w:eastAsia="仿宋_GB2312" w:hAnsi="仿宋_GB2312"/>
                <w:sz w:val="24"/>
              </w:rPr>
              <w:t>920508</w:t>
            </w:r>
            <w:r w:rsidRPr="00AB7540">
              <w:rPr>
                <w:rFonts w:ascii="仿宋_GB2312" w:eastAsia="仿宋_GB2312" w:hAnsi="仿宋_GB2312" w:hint="eastAsia"/>
                <w:sz w:val="24"/>
              </w:rPr>
              <w:t>），</w:t>
            </w:r>
            <w:r w:rsidR="000040E2">
              <w:rPr>
                <w:rFonts w:ascii="仿宋_GB2312" w:eastAsia="仿宋_GB2312" w:hAnsi="仿宋_GB2312"/>
                <w:sz w:val="24"/>
              </w:rPr>
              <w:t>0.74</w:t>
            </w:r>
            <w:r w:rsidRPr="00AB7540">
              <w:rPr>
                <w:rFonts w:ascii="仿宋_GB2312" w:eastAsia="仿宋_GB2312" w:hAnsi="仿宋_GB2312" w:hint="eastAsia"/>
                <w:sz w:val="24"/>
              </w:rPr>
              <w:t>亿元</w:t>
            </w:r>
            <w:r>
              <w:rPr>
                <w:rFonts w:ascii="仿宋_GB2312" w:eastAsia="仿宋_GB2312" w:hAnsi="仿宋_GB2312" w:hint="eastAsia"/>
                <w:sz w:val="24"/>
              </w:rPr>
              <w:t>。</w:t>
            </w:r>
          </w:p>
          <w:p w:rsidR="00332E7D" w:rsidRPr="00586BBA" w:rsidRDefault="00332E7D" w:rsidP="00332E7D">
            <w:pPr>
              <w:spacing w:line="360" w:lineRule="auto"/>
              <w:rPr>
                <w:rFonts w:ascii="仿宋_GB2312" w:eastAsia="仿宋_GB2312" w:hAnsi="仿宋_GB2312"/>
                <w:b/>
                <w:sz w:val="24"/>
              </w:rPr>
            </w:pPr>
            <w:r w:rsidRPr="00586BBA">
              <w:rPr>
                <w:rFonts w:ascii="仿宋_GB2312" w:eastAsia="仿宋_GB2312" w:hAnsi="仿宋_GB2312" w:hint="eastAsia"/>
                <w:b/>
                <w:sz w:val="24"/>
              </w:rPr>
              <w:t>八、</w:t>
            </w:r>
            <w:r w:rsidRPr="00285B54">
              <w:rPr>
                <w:rFonts w:ascii="仿宋_GB2312" w:eastAsia="仿宋_GB2312" w:hAnsi="仿宋_GB2312" w:hint="eastAsia"/>
                <w:b/>
                <w:sz w:val="24"/>
              </w:rPr>
              <w:t>权重合计占比90%以上的成份证券最近1年日均成交金额位于其所在证券交易所全部上市股票的前80%</w:t>
            </w:r>
            <w:r w:rsidRPr="00586BBA">
              <w:rPr>
                <w:rFonts w:ascii="仿宋_GB2312" w:eastAsia="仿宋_GB2312" w:hAnsi="仿宋_GB2312" w:hint="eastAsia"/>
                <w:b/>
                <w:sz w:val="24"/>
              </w:rPr>
              <w:t>：</w:t>
            </w:r>
          </w:p>
          <w:p w:rsidR="00823EE4" w:rsidRPr="000B5ED6" w:rsidRDefault="00332E7D" w:rsidP="000040E2">
            <w:pPr>
              <w:spacing w:line="360" w:lineRule="auto"/>
              <w:rPr>
                <w:rFonts w:ascii="仿宋_GB2312" w:eastAsia="仿宋_GB2312" w:hAnsi="仿宋_GB2312"/>
                <w:sz w:val="24"/>
              </w:rPr>
            </w:pPr>
            <w:r>
              <w:rPr>
                <w:rFonts w:ascii="仿宋_GB2312" w:eastAsia="仿宋_GB2312" w:hAnsi="仿宋_GB2312" w:hint="eastAsia"/>
                <w:sz w:val="24"/>
              </w:rPr>
              <w:t>截至</w:t>
            </w:r>
            <w:r w:rsidR="00D4305A">
              <w:rPr>
                <w:rFonts w:ascii="仿宋_GB2312" w:eastAsia="仿宋_GB2312" w:hAnsi="仿宋_GB2312" w:hint="eastAsia"/>
                <w:sz w:val="24"/>
              </w:rPr>
              <w:t>{{数据截止日期}}</w:t>
            </w:r>
            <w:r>
              <w:rPr>
                <w:rFonts w:ascii="仿宋_GB2312" w:eastAsia="仿宋_GB2312" w:hAnsi="仿宋_GB2312" w:hint="eastAsia"/>
                <w:sz w:val="24"/>
              </w:rPr>
              <w:t>，指数中权重合计占比90%以上的成份股最近1年日均成交金额均位于其所在证券交易所全部上市股票的前80%以内。</w:t>
            </w:r>
          </w:p>
        </w:tc>
      </w:tr>
      <w:bookmarkEnd w:id="4"/>
      <w:tr w:rsidR="00823EE4" w:rsidTr="008D065E">
        <w:trPr>
          <w:trHeight w:val="20"/>
          <w:jc w:val="center"/>
        </w:trPr>
        <w:tc>
          <w:tcPr>
            <w:tcW w:w="613" w:type="dxa"/>
            <w:vMerge/>
            <w:vAlign w:val="center"/>
          </w:tcPr>
          <w:p w:rsidR="00823EE4" w:rsidRDefault="00823EE4" w:rsidP="00823EE4">
            <w:pPr>
              <w:spacing w:line="360" w:lineRule="auto"/>
              <w:jc w:val="center"/>
              <w:rPr>
                <w:rFonts w:ascii="仿宋_GB2312" w:eastAsia="仿宋_GB2312" w:hAnsi="仿宋_GB2312"/>
                <w:b/>
                <w:sz w:val="24"/>
              </w:rPr>
            </w:pPr>
          </w:p>
        </w:tc>
        <w:tc>
          <w:tcPr>
            <w:tcW w:w="2301" w:type="dxa"/>
            <w:vAlign w:val="center"/>
          </w:tcPr>
          <w:p w:rsidR="00823EE4" w:rsidRDefault="00823EE4" w:rsidP="00823EE4">
            <w:pPr>
              <w:spacing w:line="360" w:lineRule="auto"/>
              <w:rPr>
                <w:rFonts w:ascii="仿宋_GB2312" w:eastAsia="仿宋_GB2312" w:hAnsi="仿宋_GB2312"/>
                <w:b/>
                <w:sz w:val="24"/>
              </w:rPr>
            </w:pPr>
            <w:r>
              <w:rPr>
                <w:rFonts w:ascii="仿宋_GB2312" w:eastAsia="仿宋_GB2312" w:hAnsi="仿宋_GB2312" w:hint="eastAsia"/>
                <w:b/>
                <w:sz w:val="24"/>
              </w:rPr>
              <w:t>指数中是否存在单一成分股超过10%</w:t>
            </w:r>
          </w:p>
        </w:tc>
        <w:tc>
          <w:tcPr>
            <w:tcW w:w="6012" w:type="dxa"/>
            <w:gridSpan w:val="5"/>
            <w:vAlign w:val="center"/>
          </w:tcPr>
          <w:p w:rsidR="005E73B1" w:rsidRDefault="000040E2" w:rsidP="002D456E">
            <w:pPr>
              <w:spacing w:line="360" w:lineRule="auto"/>
              <w:rPr>
                <w:rFonts w:ascii="仿宋_GB2312" w:eastAsia="仿宋_GB2312" w:hAnsi="仿宋_GB2312"/>
                <w:sz w:val="24"/>
              </w:rPr>
            </w:pPr>
            <w:r>
              <w:rPr>
                <w:rFonts w:ascii="仿宋_GB2312" w:eastAsia="仿宋_GB2312" w:hAnsi="仿宋_GB2312" w:hint="eastAsia"/>
                <w:sz w:val="24"/>
              </w:rPr>
              <w:t>否</w:t>
            </w:r>
            <w:r w:rsidR="005E73B1">
              <w:rPr>
                <w:rFonts w:ascii="仿宋_GB2312" w:eastAsia="仿宋_GB2312" w:hAnsi="仿宋_GB2312"/>
                <w:sz w:val="24"/>
              </w:rPr>
              <w:t>。</w:t>
            </w:r>
            <w:r w:rsidR="005E73B1">
              <w:rPr>
                <w:rFonts w:ascii="仿宋_GB2312" w:eastAsia="仿宋_GB2312" w:hAnsi="仿宋_GB2312" w:hint="eastAsia"/>
                <w:sz w:val="24"/>
              </w:rPr>
              <w:t>前五大成份股权重具体如下：</w:t>
            </w:r>
          </w:p>
          <w:tbl>
            <w:tblPr>
              <w:tblW w:w="4636" w:type="dxa"/>
              <w:jc w:val="center"/>
              <w:tblLayout w:type="fixed"/>
              <w:tblLook w:val="04A0" w:firstRow="1" w:lastRow="0" w:firstColumn="1" w:lastColumn="0" w:noHBand="0" w:noVBand="1"/>
            </w:tblPr>
            <w:tblGrid>
              <w:gridCol w:w="838"/>
              <w:gridCol w:w="1386"/>
              <w:gridCol w:w="1276"/>
              <w:gridCol w:w="1136"/>
            </w:tblGrid>
            <w:tr w:rsidR="005E73B1" w:rsidRPr="00E6508B" w:rsidTr="004047BB">
              <w:trPr>
                <w:trHeight w:val="397"/>
                <w:tblHeader/>
                <w:jc w:val="center"/>
              </w:trPr>
              <w:tc>
                <w:tcPr>
                  <w:tcW w:w="8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E73B1" w:rsidRPr="004C623D" w:rsidRDefault="005E73B1" w:rsidP="00823EE4">
                  <w:pPr>
                    <w:widowControl/>
                    <w:jc w:val="center"/>
                    <w:rPr>
                      <w:rFonts w:ascii="仿宋_GB2312" w:eastAsia="仿宋_GB2312" w:hAnsi="仿宋_GB2312"/>
                      <w:sz w:val="24"/>
                    </w:rPr>
                  </w:pPr>
                  <w:r w:rsidRPr="004C623D">
                    <w:rPr>
                      <w:rFonts w:ascii="仿宋_GB2312" w:eastAsia="仿宋_GB2312" w:hAnsi="仿宋_GB2312" w:hint="eastAsia"/>
                      <w:sz w:val="24"/>
                    </w:rPr>
                    <w:t>序号</w:t>
                  </w:r>
                </w:p>
              </w:tc>
              <w:tc>
                <w:tcPr>
                  <w:tcW w:w="1386" w:type="dxa"/>
                  <w:tcBorders>
                    <w:top w:val="single" w:sz="4" w:space="0" w:color="auto"/>
                    <w:left w:val="nil"/>
                    <w:bottom w:val="single" w:sz="4" w:space="0" w:color="auto"/>
                    <w:right w:val="single" w:sz="4" w:space="0" w:color="auto"/>
                  </w:tcBorders>
                  <w:shd w:val="clear" w:color="auto" w:fill="auto"/>
                  <w:noWrap/>
                  <w:vAlign w:val="center"/>
                  <w:hideMark/>
                </w:tcPr>
                <w:p w:rsidR="005E73B1" w:rsidRPr="004C623D" w:rsidRDefault="005E73B1" w:rsidP="00823EE4">
                  <w:pPr>
                    <w:widowControl/>
                    <w:jc w:val="center"/>
                    <w:rPr>
                      <w:rFonts w:ascii="仿宋_GB2312" w:eastAsia="仿宋_GB2312" w:hAnsi="仿宋_GB2312"/>
                      <w:sz w:val="24"/>
                    </w:rPr>
                  </w:pPr>
                  <w:r w:rsidRPr="004C623D">
                    <w:rPr>
                      <w:rFonts w:ascii="仿宋_GB2312" w:eastAsia="仿宋_GB2312" w:hAnsi="仿宋_GB2312" w:hint="eastAsia"/>
                      <w:sz w:val="24"/>
                    </w:rPr>
                    <w:t>代码</w:t>
                  </w:r>
                </w:p>
              </w:tc>
              <w:tc>
                <w:tcPr>
                  <w:tcW w:w="1276" w:type="dxa"/>
                  <w:tcBorders>
                    <w:top w:val="single" w:sz="4" w:space="0" w:color="auto"/>
                    <w:left w:val="nil"/>
                    <w:bottom w:val="single" w:sz="4" w:space="0" w:color="auto"/>
                    <w:right w:val="single" w:sz="4" w:space="0" w:color="auto"/>
                  </w:tcBorders>
                  <w:shd w:val="clear" w:color="auto" w:fill="auto"/>
                  <w:noWrap/>
                  <w:vAlign w:val="center"/>
                  <w:hideMark/>
                </w:tcPr>
                <w:p w:rsidR="005E73B1" w:rsidRPr="004C623D" w:rsidRDefault="005E73B1" w:rsidP="00823EE4">
                  <w:pPr>
                    <w:widowControl/>
                    <w:jc w:val="center"/>
                    <w:rPr>
                      <w:rFonts w:ascii="仿宋_GB2312" w:eastAsia="仿宋_GB2312" w:hAnsi="仿宋_GB2312"/>
                      <w:sz w:val="24"/>
                    </w:rPr>
                  </w:pPr>
                  <w:r w:rsidRPr="004C623D">
                    <w:rPr>
                      <w:rFonts w:ascii="仿宋_GB2312" w:eastAsia="仿宋_GB2312" w:hAnsi="仿宋_GB2312" w:hint="eastAsia"/>
                      <w:sz w:val="24"/>
                    </w:rPr>
                    <w:t>名称</w:t>
                  </w:r>
                </w:p>
              </w:tc>
              <w:tc>
                <w:tcPr>
                  <w:tcW w:w="1136" w:type="dxa"/>
                  <w:tcBorders>
                    <w:top w:val="single" w:sz="4" w:space="0" w:color="auto"/>
                    <w:left w:val="nil"/>
                    <w:bottom w:val="single" w:sz="4" w:space="0" w:color="auto"/>
                    <w:right w:val="single" w:sz="4" w:space="0" w:color="auto"/>
                  </w:tcBorders>
                  <w:shd w:val="clear" w:color="auto" w:fill="auto"/>
                  <w:noWrap/>
                  <w:vAlign w:val="center"/>
                  <w:hideMark/>
                </w:tcPr>
                <w:p w:rsidR="005E73B1" w:rsidRPr="004C623D" w:rsidRDefault="005E73B1" w:rsidP="00823EE4">
                  <w:pPr>
                    <w:widowControl/>
                    <w:jc w:val="center"/>
                    <w:rPr>
                      <w:rFonts w:ascii="仿宋_GB2312" w:eastAsia="仿宋_GB2312" w:hAnsi="仿宋_GB2312"/>
                      <w:sz w:val="24"/>
                    </w:rPr>
                  </w:pPr>
                  <w:r w:rsidRPr="004C623D">
                    <w:rPr>
                      <w:rFonts w:ascii="仿宋_GB2312" w:eastAsia="仿宋_GB2312" w:hAnsi="仿宋_GB2312" w:hint="eastAsia"/>
                      <w:sz w:val="24"/>
                    </w:rPr>
                    <w:t>权重</w:t>
                  </w:r>
                  <w:r>
                    <w:rPr>
                      <w:rFonts w:ascii="仿宋_GB2312" w:eastAsia="仿宋_GB2312" w:hAnsi="仿宋_GB2312" w:hint="eastAsia"/>
                      <w:sz w:val="24"/>
                    </w:rPr>
                    <w:t>%</w:t>
                  </w:r>
                </w:p>
              </w:tc>
            </w:tr>
            <w:tr w:rsidR="000040E2" w:rsidRPr="00125343" w:rsidTr="000040E2">
              <w:trPr>
                <w:trHeight w:val="397"/>
                <w:tblHeader/>
                <w:jc w:val="center"/>
              </w:trPr>
              <w:tc>
                <w:tcPr>
                  <w:tcW w:w="8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040E2" w:rsidRPr="00125343" w:rsidRDefault="000040E2" w:rsidP="000040E2">
                  <w:pPr>
                    <w:widowControl/>
                    <w:jc w:val="center"/>
                    <w:rPr>
                      <w:rFonts w:ascii="仿宋_GB2312" w:eastAsia="仿宋_GB2312" w:hAnsi="仿宋_GB2312"/>
                      <w:sz w:val="24"/>
                    </w:rPr>
                  </w:pPr>
                  <w:r w:rsidRPr="00125343">
                    <w:rPr>
                      <w:rFonts w:ascii="仿宋_GB2312" w:eastAsia="仿宋_GB2312" w:hAnsi="仿宋_GB2312" w:hint="eastAsia"/>
                      <w:sz w:val="24"/>
                    </w:rPr>
                    <w:t>1</w:t>
                  </w:r>
                </w:p>
              </w:tc>
              <w:tc>
                <w:tcPr>
                  <w:tcW w:w="1386" w:type="dxa"/>
                  <w:tcBorders>
                    <w:top w:val="single" w:sz="4" w:space="0" w:color="auto"/>
                    <w:left w:val="nil"/>
                    <w:bottom w:val="single" w:sz="4" w:space="0" w:color="auto"/>
                    <w:right w:val="single" w:sz="4" w:space="0" w:color="auto"/>
                  </w:tcBorders>
                  <w:shd w:val="clear" w:color="auto" w:fill="auto"/>
                  <w:noWrap/>
                  <w:vAlign w:val="center"/>
                </w:tcPr>
                <w:p w:rsidR="000040E2" w:rsidRPr="00125343" w:rsidRDefault="000040E2" w:rsidP="000040E2">
                  <w:pPr>
                    <w:widowControl/>
                    <w:jc w:val="center"/>
                    <w:rPr>
                      <w:rFonts w:ascii="仿宋_GB2312" w:eastAsia="仿宋_GB2312" w:hAnsi="仿宋_GB2312"/>
                      <w:sz w:val="24"/>
                    </w:rPr>
                  </w:pPr>
                  <w:r w:rsidRPr="00EE325A">
                    <w:rPr>
                      <w:rFonts w:ascii="仿宋_GB2312" w:eastAsia="仿宋_GB2312" w:hAnsi="仿宋" w:hint="eastAsia"/>
                      <w:color w:val="000000"/>
                      <w:sz w:val="22"/>
                    </w:rPr>
                    <w:t>600089</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40E2" w:rsidRPr="00125343" w:rsidRDefault="000040E2" w:rsidP="000040E2">
                  <w:pPr>
                    <w:widowControl/>
                    <w:jc w:val="center"/>
                    <w:rPr>
                      <w:rFonts w:ascii="仿宋_GB2312" w:eastAsia="仿宋_GB2312" w:hAnsi="仿宋_GB2312"/>
                      <w:sz w:val="24"/>
                    </w:rPr>
                  </w:pPr>
                  <w:r w:rsidRPr="00EE325A">
                    <w:rPr>
                      <w:rFonts w:ascii="仿宋_GB2312" w:eastAsia="仿宋_GB2312" w:hAnsi="仿宋" w:hint="eastAsia"/>
                      <w:color w:val="000000"/>
                      <w:sz w:val="22"/>
                    </w:rPr>
                    <w:t>特变电工</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40E2" w:rsidRPr="00125343" w:rsidRDefault="000040E2" w:rsidP="000040E2">
                  <w:pPr>
                    <w:widowControl/>
                    <w:jc w:val="center"/>
                    <w:rPr>
                      <w:rFonts w:ascii="仿宋_GB2312" w:eastAsia="仿宋_GB2312" w:hAnsi="仿宋_GB2312"/>
                      <w:sz w:val="24"/>
                    </w:rPr>
                  </w:pPr>
                  <w:r w:rsidRPr="00EE325A">
                    <w:rPr>
                      <w:rFonts w:ascii="仿宋_GB2312" w:eastAsia="仿宋_GB2312" w:hAnsi="仿宋" w:hint="eastAsia"/>
                      <w:color w:val="000000"/>
                      <w:sz w:val="22"/>
                    </w:rPr>
                    <w:t>10.95</w:t>
                  </w:r>
                </w:p>
              </w:tc>
            </w:tr>
            <w:tr w:rsidR="000040E2" w:rsidRPr="00125343" w:rsidTr="000040E2">
              <w:trPr>
                <w:trHeight w:val="397"/>
                <w:tblHeader/>
                <w:jc w:val="center"/>
              </w:trPr>
              <w:tc>
                <w:tcPr>
                  <w:tcW w:w="8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040E2" w:rsidRPr="00125343" w:rsidRDefault="000040E2" w:rsidP="000040E2">
                  <w:pPr>
                    <w:widowControl/>
                    <w:jc w:val="center"/>
                    <w:rPr>
                      <w:rFonts w:ascii="仿宋_GB2312" w:eastAsia="仿宋_GB2312" w:hAnsi="仿宋_GB2312"/>
                      <w:sz w:val="24"/>
                    </w:rPr>
                  </w:pPr>
                  <w:r w:rsidRPr="00125343">
                    <w:rPr>
                      <w:rFonts w:ascii="仿宋_GB2312" w:eastAsia="仿宋_GB2312" w:hAnsi="仿宋_GB2312" w:hint="eastAsia"/>
                      <w:sz w:val="24"/>
                    </w:rPr>
                    <w:t>2</w:t>
                  </w:r>
                </w:p>
              </w:tc>
              <w:tc>
                <w:tcPr>
                  <w:tcW w:w="1386" w:type="dxa"/>
                  <w:tcBorders>
                    <w:top w:val="single" w:sz="4" w:space="0" w:color="auto"/>
                    <w:left w:val="nil"/>
                    <w:bottom w:val="single" w:sz="4" w:space="0" w:color="auto"/>
                    <w:right w:val="single" w:sz="4" w:space="0" w:color="auto"/>
                  </w:tcBorders>
                  <w:shd w:val="clear" w:color="auto" w:fill="auto"/>
                  <w:noWrap/>
                  <w:vAlign w:val="center"/>
                </w:tcPr>
                <w:p w:rsidR="000040E2" w:rsidRPr="00125343" w:rsidRDefault="000040E2" w:rsidP="000040E2">
                  <w:pPr>
                    <w:widowControl/>
                    <w:jc w:val="center"/>
                    <w:rPr>
                      <w:rFonts w:ascii="仿宋_GB2312" w:eastAsia="仿宋_GB2312" w:hAnsi="仿宋_GB2312"/>
                      <w:sz w:val="24"/>
                    </w:rPr>
                  </w:pPr>
                  <w:r w:rsidRPr="00EE325A">
                    <w:rPr>
                      <w:rFonts w:ascii="仿宋_GB2312" w:eastAsia="仿宋_GB2312" w:hAnsi="仿宋" w:hint="eastAsia"/>
                      <w:color w:val="000000"/>
                      <w:sz w:val="22"/>
                    </w:rPr>
                    <w:t>600406</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40E2" w:rsidRPr="00125343" w:rsidRDefault="000040E2" w:rsidP="000040E2">
                  <w:pPr>
                    <w:widowControl/>
                    <w:jc w:val="center"/>
                    <w:rPr>
                      <w:rFonts w:ascii="仿宋_GB2312" w:eastAsia="仿宋_GB2312" w:hAnsi="仿宋_GB2312"/>
                      <w:sz w:val="24"/>
                    </w:rPr>
                  </w:pPr>
                  <w:r w:rsidRPr="00EE325A">
                    <w:rPr>
                      <w:rFonts w:ascii="仿宋_GB2312" w:eastAsia="仿宋_GB2312" w:hAnsi="仿宋" w:hint="eastAsia"/>
                      <w:color w:val="000000"/>
                      <w:sz w:val="22"/>
                    </w:rPr>
                    <w:t>国电南瑞</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40E2" w:rsidRPr="00125343" w:rsidRDefault="000040E2" w:rsidP="000040E2">
                  <w:pPr>
                    <w:widowControl/>
                    <w:jc w:val="center"/>
                    <w:rPr>
                      <w:rFonts w:ascii="仿宋_GB2312" w:eastAsia="仿宋_GB2312" w:hAnsi="仿宋_GB2312"/>
                      <w:sz w:val="24"/>
                    </w:rPr>
                  </w:pPr>
                  <w:r w:rsidRPr="00EE325A">
                    <w:rPr>
                      <w:rFonts w:ascii="仿宋_GB2312" w:eastAsia="仿宋_GB2312" w:hAnsi="仿宋" w:hint="eastAsia"/>
                      <w:color w:val="000000"/>
                      <w:sz w:val="22"/>
                    </w:rPr>
                    <w:t>10.77</w:t>
                  </w:r>
                </w:p>
              </w:tc>
            </w:tr>
            <w:tr w:rsidR="000040E2" w:rsidRPr="00125343" w:rsidTr="000040E2">
              <w:trPr>
                <w:trHeight w:val="397"/>
                <w:tblHeader/>
                <w:jc w:val="center"/>
              </w:trPr>
              <w:tc>
                <w:tcPr>
                  <w:tcW w:w="8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040E2" w:rsidRPr="00125343" w:rsidRDefault="000040E2" w:rsidP="000040E2">
                  <w:pPr>
                    <w:widowControl/>
                    <w:jc w:val="center"/>
                    <w:rPr>
                      <w:rFonts w:ascii="仿宋_GB2312" w:eastAsia="仿宋_GB2312" w:hAnsi="仿宋_GB2312"/>
                      <w:sz w:val="24"/>
                    </w:rPr>
                  </w:pPr>
                  <w:r w:rsidRPr="00125343">
                    <w:rPr>
                      <w:rFonts w:ascii="仿宋_GB2312" w:eastAsia="仿宋_GB2312" w:hAnsi="仿宋_GB2312" w:hint="eastAsia"/>
                      <w:sz w:val="24"/>
                    </w:rPr>
                    <w:t>3</w:t>
                  </w:r>
                </w:p>
              </w:tc>
              <w:tc>
                <w:tcPr>
                  <w:tcW w:w="1386" w:type="dxa"/>
                  <w:tcBorders>
                    <w:top w:val="single" w:sz="4" w:space="0" w:color="auto"/>
                    <w:left w:val="nil"/>
                    <w:bottom w:val="single" w:sz="4" w:space="0" w:color="auto"/>
                    <w:right w:val="single" w:sz="4" w:space="0" w:color="auto"/>
                  </w:tcBorders>
                  <w:shd w:val="clear" w:color="auto" w:fill="auto"/>
                  <w:noWrap/>
                  <w:vAlign w:val="center"/>
                </w:tcPr>
                <w:p w:rsidR="000040E2" w:rsidRPr="00125343" w:rsidRDefault="000040E2" w:rsidP="000040E2">
                  <w:pPr>
                    <w:widowControl/>
                    <w:jc w:val="center"/>
                    <w:rPr>
                      <w:rFonts w:ascii="仿宋_GB2312" w:eastAsia="仿宋_GB2312" w:hAnsi="仿宋_GB2312"/>
                      <w:sz w:val="24"/>
                    </w:rPr>
                  </w:pPr>
                  <w:r w:rsidRPr="00EE325A">
                    <w:rPr>
                      <w:rFonts w:ascii="仿宋_GB2312" w:eastAsia="仿宋_GB2312" w:hAnsi="仿宋" w:hint="eastAsia"/>
                      <w:color w:val="000000"/>
                      <w:sz w:val="22"/>
                    </w:rPr>
                    <w:t>002028</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40E2" w:rsidRPr="00125343" w:rsidRDefault="000040E2" w:rsidP="000040E2">
                  <w:pPr>
                    <w:widowControl/>
                    <w:jc w:val="center"/>
                    <w:rPr>
                      <w:rFonts w:ascii="仿宋_GB2312" w:eastAsia="仿宋_GB2312" w:hAnsi="仿宋_GB2312"/>
                      <w:sz w:val="24"/>
                    </w:rPr>
                  </w:pPr>
                  <w:r w:rsidRPr="00EE325A">
                    <w:rPr>
                      <w:rFonts w:ascii="仿宋_GB2312" w:eastAsia="仿宋_GB2312" w:hAnsi="仿宋" w:hint="eastAsia"/>
                      <w:color w:val="000000"/>
                      <w:sz w:val="22"/>
                    </w:rPr>
                    <w:t>思源电气</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40E2" w:rsidRPr="00125343" w:rsidRDefault="000040E2" w:rsidP="000040E2">
                  <w:pPr>
                    <w:widowControl/>
                    <w:jc w:val="center"/>
                    <w:rPr>
                      <w:rFonts w:ascii="仿宋_GB2312" w:eastAsia="仿宋_GB2312" w:hAnsi="仿宋_GB2312"/>
                      <w:sz w:val="24"/>
                    </w:rPr>
                  </w:pPr>
                  <w:r w:rsidRPr="00EE325A">
                    <w:rPr>
                      <w:rFonts w:ascii="仿宋_GB2312" w:eastAsia="仿宋_GB2312" w:hAnsi="仿宋" w:hint="eastAsia"/>
                      <w:color w:val="000000"/>
                      <w:sz w:val="22"/>
                    </w:rPr>
                    <w:t>9.05</w:t>
                  </w:r>
                </w:p>
              </w:tc>
            </w:tr>
            <w:tr w:rsidR="000040E2" w:rsidRPr="00125343" w:rsidTr="000040E2">
              <w:trPr>
                <w:trHeight w:val="397"/>
                <w:tblHeader/>
                <w:jc w:val="center"/>
              </w:trPr>
              <w:tc>
                <w:tcPr>
                  <w:tcW w:w="8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040E2" w:rsidRPr="00125343" w:rsidRDefault="000040E2" w:rsidP="000040E2">
                  <w:pPr>
                    <w:widowControl/>
                    <w:jc w:val="center"/>
                    <w:rPr>
                      <w:rFonts w:ascii="仿宋_GB2312" w:eastAsia="仿宋_GB2312" w:hAnsi="仿宋_GB2312"/>
                      <w:sz w:val="24"/>
                    </w:rPr>
                  </w:pPr>
                  <w:r w:rsidRPr="00125343">
                    <w:rPr>
                      <w:rFonts w:ascii="仿宋_GB2312" w:eastAsia="仿宋_GB2312" w:hAnsi="仿宋_GB2312" w:hint="eastAsia"/>
                      <w:sz w:val="24"/>
                    </w:rPr>
                    <w:t>4</w:t>
                  </w:r>
                </w:p>
              </w:tc>
              <w:tc>
                <w:tcPr>
                  <w:tcW w:w="1386" w:type="dxa"/>
                  <w:tcBorders>
                    <w:top w:val="single" w:sz="4" w:space="0" w:color="auto"/>
                    <w:left w:val="nil"/>
                    <w:bottom w:val="single" w:sz="4" w:space="0" w:color="auto"/>
                    <w:right w:val="single" w:sz="4" w:space="0" w:color="auto"/>
                  </w:tcBorders>
                  <w:shd w:val="clear" w:color="auto" w:fill="auto"/>
                  <w:noWrap/>
                  <w:vAlign w:val="center"/>
                </w:tcPr>
                <w:p w:rsidR="000040E2" w:rsidRPr="00125343" w:rsidRDefault="000040E2" w:rsidP="000040E2">
                  <w:pPr>
                    <w:widowControl/>
                    <w:jc w:val="center"/>
                    <w:rPr>
                      <w:rFonts w:ascii="仿宋_GB2312" w:eastAsia="仿宋_GB2312" w:hAnsi="仿宋_GB2312"/>
                      <w:sz w:val="24"/>
                    </w:rPr>
                  </w:pPr>
                  <w:r w:rsidRPr="00EE325A">
                    <w:rPr>
                      <w:rFonts w:ascii="仿宋_GB2312" w:eastAsia="仿宋_GB2312" w:hAnsi="仿宋" w:hint="eastAsia"/>
                      <w:color w:val="000000"/>
                      <w:sz w:val="22"/>
                    </w:rPr>
                    <w:t>600522</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40E2" w:rsidRPr="00125343" w:rsidRDefault="000040E2" w:rsidP="000040E2">
                  <w:pPr>
                    <w:widowControl/>
                    <w:jc w:val="center"/>
                    <w:rPr>
                      <w:rFonts w:ascii="仿宋_GB2312" w:eastAsia="仿宋_GB2312" w:hAnsi="仿宋_GB2312"/>
                      <w:sz w:val="24"/>
                    </w:rPr>
                  </w:pPr>
                  <w:r w:rsidRPr="00EE325A">
                    <w:rPr>
                      <w:rFonts w:ascii="仿宋_GB2312" w:eastAsia="仿宋_GB2312" w:hAnsi="仿宋" w:hint="eastAsia"/>
                      <w:color w:val="000000"/>
                      <w:sz w:val="22"/>
                    </w:rPr>
                    <w:t>中天科技</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40E2" w:rsidRPr="00125343" w:rsidRDefault="000040E2" w:rsidP="000040E2">
                  <w:pPr>
                    <w:widowControl/>
                    <w:jc w:val="center"/>
                    <w:rPr>
                      <w:rFonts w:ascii="仿宋_GB2312" w:eastAsia="仿宋_GB2312" w:hAnsi="仿宋_GB2312"/>
                      <w:sz w:val="24"/>
                    </w:rPr>
                  </w:pPr>
                  <w:r w:rsidRPr="00EE325A">
                    <w:rPr>
                      <w:rFonts w:ascii="仿宋_GB2312" w:eastAsia="仿宋_GB2312" w:hAnsi="仿宋" w:hint="eastAsia"/>
                      <w:color w:val="000000"/>
                      <w:sz w:val="22"/>
                    </w:rPr>
                    <w:t>5.12</w:t>
                  </w:r>
                </w:p>
              </w:tc>
            </w:tr>
            <w:tr w:rsidR="000040E2" w:rsidRPr="00125343" w:rsidTr="000040E2">
              <w:trPr>
                <w:trHeight w:val="397"/>
                <w:tblHeader/>
                <w:jc w:val="center"/>
              </w:trPr>
              <w:tc>
                <w:tcPr>
                  <w:tcW w:w="83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040E2" w:rsidRPr="00125343" w:rsidRDefault="000040E2" w:rsidP="000040E2">
                  <w:pPr>
                    <w:widowControl/>
                    <w:jc w:val="center"/>
                    <w:rPr>
                      <w:rFonts w:ascii="仿宋_GB2312" w:eastAsia="仿宋_GB2312" w:hAnsi="仿宋_GB2312"/>
                      <w:sz w:val="24"/>
                    </w:rPr>
                  </w:pPr>
                  <w:r w:rsidRPr="00125343">
                    <w:rPr>
                      <w:rFonts w:ascii="仿宋_GB2312" w:eastAsia="仿宋_GB2312" w:hAnsi="仿宋_GB2312" w:hint="eastAsia"/>
                      <w:sz w:val="24"/>
                    </w:rPr>
                    <w:t>5</w:t>
                  </w:r>
                </w:p>
              </w:tc>
              <w:tc>
                <w:tcPr>
                  <w:tcW w:w="1386" w:type="dxa"/>
                  <w:tcBorders>
                    <w:top w:val="single" w:sz="4" w:space="0" w:color="auto"/>
                    <w:left w:val="nil"/>
                    <w:bottom w:val="single" w:sz="4" w:space="0" w:color="auto"/>
                    <w:right w:val="single" w:sz="4" w:space="0" w:color="auto"/>
                  </w:tcBorders>
                  <w:shd w:val="clear" w:color="auto" w:fill="auto"/>
                  <w:noWrap/>
                  <w:vAlign w:val="center"/>
                </w:tcPr>
                <w:p w:rsidR="000040E2" w:rsidRPr="00125343" w:rsidRDefault="000040E2" w:rsidP="000040E2">
                  <w:pPr>
                    <w:widowControl/>
                    <w:jc w:val="center"/>
                    <w:rPr>
                      <w:rFonts w:ascii="仿宋_GB2312" w:eastAsia="仿宋_GB2312" w:hAnsi="仿宋_GB2312"/>
                      <w:sz w:val="24"/>
                    </w:rPr>
                  </w:pPr>
                  <w:r w:rsidRPr="00EE325A">
                    <w:rPr>
                      <w:rFonts w:ascii="仿宋_GB2312" w:eastAsia="仿宋_GB2312" w:hAnsi="仿宋" w:hint="eastAsia"/>
                      <w:color w:val="000000"/>
                      <w:sz w:val="22"/>
                    </w:rPr>
                    <w:t>600487</w:t>
                  </w:r>
                </w:p>
              </w:tc>
              <w:tc>
                <w:tcPr>
                  <w:tcW w:w="1276"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40E2" w:rsidRPr="00125343" w:rsidRDefault="000040E2" w:rsidP="000040E2">
                  <w:pPr>
                    <w:widowControl/>
                    <w:jc w:val="center"/>
                    <w:rPr>
                      <w:rFonts w:ascii="仿宋_GB2312" w:eastAsia="仿宋_GB2312" w:hAnsi="仿宋_GB2312"/>
                      <w:sz w:val="24"/>
                    </w:rPr>
                  </w:pPr>
                  <w:r w:rsidRPr="00EE325A">
                    <w:rPr>
                      <w:rFonts w:ascii="仿宋_GB2312" w:eastAsia="仿宋_GB2312" w:hAnsi="仿宋" w:hint="eastAsia"/>
                      <w:color w:val="000000"/>
                      <w:sz w:val="22"/>
                    </w:rPr>
                    <w:t>亨通光电</w:t>
                  </w:r>
                </w:p>
              </w:tc>
              <w:tc>
                <w:tcPr>
                  <w:tcW w:w="1136" w:type="dxa"/>
                  <w:tcBorders>
                    <w:top w:val="single" w:sz="4" w:space="0" w:color="auto"/>
                    <w:left w:val="single" w:sz="4" w:space="0" w:color="auto"/>
                    <w:bottom w:val="single" w:sz="4" w:space="0" w:color="auto"/>
                    <w:right w:val="single" w:sz="4" w:space="0" w:color="auto"/>
                  </w:tcBorders>
                  <w:shd w:val="clear" w:color="auto" w:fill="auto"/>
                  <w:noWrap/>
                  <w:vAlign w:val="center"/>
                </w:tcPr>
                <w:p w:rsidR="000040E2" w:rsidRPr="00125343" w:rsidRDefault="000040E2" w:rsidP="000040E2">
                  <w:pPr>
                    <w:widowControl/>
                    <w:jc w:val="center"/>
                    <w:rPr>
                      <w:rFonts w:ascii="仿宋_GB2312" w:eastAsia="仿宋_GB2312" w:hAnsi="仿宋_GB2312"/>
                      <w:sz w:val="24"/>
                    </w:rPr>
                  </w:pPr>
                  <w:r w:rsidRPr="00EE325A">
                    <w:rPr>
                      <w:rFonts w:ascii="仿宋_GB2312" w:eastAsia="仿宋_GB2312" w:hAnsi="仿宋" w:hint="eastAsia"/>
                      <w:color w:val="000000"/>
                      <w:sz w:val="22"/>
                    </w:rPr>
                    <w:t>4.88</w:t>
                  </w:r>
                </w:p>
              </w:tc>
            </w:tr>
          </w:tbl>
          <w:p w:rsidR="00823EE4" w:rsidRDefault="00823EE4" w:rsidP="00823EE4">
            <w:pPr>
              <w:spacing w:line="360" w:lineRule="auto"/>
              <w:jc w:val="center"/>
              <w:rPr>
                <w:rFonts w:ascii="仿宋_GB2312" w:eastAsia="仿宋_GB2312" w:hAnsi="仿宋_GB2312"/>
                <w:sz w:val="24"/>
              </w:rPr>
            </w:pPr>
          </w:p>
        </w:tc>
      </w:tr>
      <w:tr w:rsidR="00823EE4" w:rsidTr="008D065E">
        <w:trPr>
          <w:trHeight w:val="20"/>
          <w:jc w:val="center"/>
        </w:trPr>
        <w:tc>
          <w:tcPr>
            <w:tcW w:w="613" w:type="dxa"/>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15</w:t>
            </w:r>
          </w:p>
        </w:tc>
        <w:tc>
          <w:tcPr>
            <w:tcW w:w="2301" w:type="dxa"/>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上市交易所</w:t>
            </w:r>
          </w:p>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（上市适用）</w:t>
            </w:r>
          </w:p>
        </w:tc>
        <w:tc>
          <w:tcPr>
            <w:tcW w:w="6012" w:type="dxa"/>
            <w:gridSpan w:val="5"/>
            <w:vAlign w:val="center"/>
          </w:tcPr>
          <w:p w:rsidR="00823EE4" w:rsidRDefault="00D62F43" w:rsidP="00823EE4">
            <w:pPr>
              <w:spacing w:line="360" w:lineRule="auto"/>
              <w:jc w:val="center"/>
              <w:rPr>
                <w:rFonts w:ascii="仿宋_GB2312" w:eastAsia="仿宋_GB2312" w:hAnsi="仿宋_GB2312"/>
                <w:sz w:val="24"/>
              </w:rPr>
            </w:pPr>
            <w:r>
              <w:rPr>
                <w:rFonts w:ascii="仿宋_GB2312" w:eastAsia="仿宋_GB2312" w:hAnsi="仿宋_GB2312" w:hint="eastAsia"/>
                <w:sz w:val="24"/>
              </w:rPr>
              <w:t>{{上市交易所}}</w:t>
            </w:r>
          </w:p>
        </w:tc>
      </w:tr>
      <w:tr w:rsidR="00823EE4" w:rsidTr="008D065E">
        <w:trPr>
          <w:trHeight w:val="20"/>
          <w:jc w:val="center"/>
        </w:trPr>
        <w:tc>
          <w:tcPr>
            <w:tcW w:w="613" w:type="dxa"/>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16</w:t>
            </w:r>
          </w:p>
        </w:tc>
        <w:tc>
          <w:tcPr>
            <w:tcW w:w="2301" w:type="dxa"/>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发起资金来源</w:t>
            </w:r>
          </w:p>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（发起式适用）</w:t>
            </w:r>
          </w:p>
        </w:tc>
        <w:tc>
          <w:tcPr>
            <w:tcW w:w="6012" w:type="dxa"/>
            <w:gridSpan w:val="5"/>
            <w:vAlign w:val="center"/>
          </w:tcPr>
          <w:p w:rsidR="00823EE4" w:rsidRDefault="00823EE4" w:rsidP="00823EE4">
            <w:pPr>
              <w:spacing w:line="360" w:lineRule="auto"/>
              <w:jc w:val="center"/>
              <w:rPr>
                <w:rFonts w:ascii="仿宋_GB2312" w:eastAsia="仿宋_GB2312" w:hAnsi="仿宋_GB2312"/>
                <w:sz w:val="24"/>
              </w:rPr>
            </w:pPr>
            <w:r>
              <w:rPr>
                <w:rFonts w:ascii="仿宋_GB2312" w:eastAsia="仿宋_GB2312" w:hAnsi="仿宋_GB2312" w:hint="eastAsia"/>
                <w:sz w:val="24"/>
              </w:rPr>
              <w:t>-</w:t>
            </w:r>
          </w:p>
        </w:tc>
      </w:tr>
      <w:tr w:rsidR="00823EE4" w:rsidTr="008D065E">
        <w:trPr>
          <w:trHeight w:val="20"/>
          <w:jc w:val="center"/>
        </w:trPr>
        <w:tc>
          <w:tcPr>
            <w:tcW w:w="613" w:type="dxa"/>
            <w:vMerge w:val="restart"/>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17</w:t>
            </w:r>
          </w:p>
        </w:tc>
        <w:tc>
          <w:tcPr>
            <w:tcW w:w="2301" w:type="dxa"/>
            <w:vMerge w:val="restart"/>
            <w:vAlign w:val="center"/>
          </w:tcPr>
          <w:p w:rsidR="00823EE4" w:rsidRPr="00861929" w:rsidRDefault="00823EE4" w:rsidP="0050393E">
            <w:pPr>
              <w:spacing w:line="360" w:lineRule="auto"/>
              <w:jc w:val="center"/>
              <w:rPr>
                <w:rFonts w:ascii="仿宋_GB2312" w:eastAsia="仿宋_GB2312" w:hAnsi="仿宋_GB2312"/>
                <w:b/>
                <w:sz w:val="24"/>
              </w:rPr>
            </w:pPr>
            <w:r>
              <w:rPr>
                <w:rFonts w:ascii="仿宋_GB2312" w:eastAsia="仿宋_GB2312" w:hAnsi="仿宋_GB2312" w:hint="eastAsia"/>
                <w:b/>
                <w:sz w:val="24"/>
              </w:rPr>
              <w:t>基金管理人有关情况说明</w:t>
            </w:r>
          </w:p>
        </w:tc>
        <w:tc>
          <w:tcPr>
            <w:tcW w:w="2804" w:type="dxa"/>
            <w:gridSpan w:val="2"/>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近30日内申报产品数量</w:t>
            </w:r>
          </w:p>
        </w:tc>
        <w:tc>
          <w:tcPr>
            <w:tcW w:w="3208" w:type="dxa"/>
            <w:gridSpan w:val="3"/>
            <w:vAlign w:val="center"/>
          </w:tcPr>
          <w:p w:rsidR="00823EE4" w:rsidRDefault="00224C11" w:rsidP="001B2570">
            <w:pPr>
              <w:spacing w:line="360" w:lineRule="auto"/>
              <w:rPr>
                <w:rFonts w:ascii="仿宋_GB2312" w:eastAsia="仿宋_GB2312" w:hAnsi="仿宋_GB2312"/>
                <w:sz w:val="24"/>
              </w:rPr>
            </w:pPr>
            <w:r>
              <w:rPr>
                <w:rFonts w:ascii="仿宋_GB2312" w:eastAsia="仿宋_GB2312" w:hAnsi="仿宋_GB2312" w:hint="eastAsia"/>
                <w:sz w:val="24"/>
              </w:rPr>
              <w:t>截至</w:t>
            </w:r>
            <w:r w:rsidR="00D4305A">
              <w:rPr>
                <w:rFonts w:ascii="仿宋_GB2312" w:eastAsia="仿宋_GB2312" w:hAnsi="仿宋_GB2312" w:hint="eastAsia"/>
                <w:sz w:val="24"/>
              </w:rPr>
              <w:t>{{数据截止日期}}</w:t>
            </w:r>
            <w:r>
              <w:rPr>
                <w:rFonts w:ascii="仿宋_GB2312" w:eastAsia="仿宋_GB2312" w:hAnsi="仿宋_GB2312" w:hint="eastAsia"/>
                <w:sz w:val="24"/>
              </w:rPr>
              <w:t>，近30日内申报1只QDIIETF联接基金。</w:t>
            </w:r>
          </w:p>
        </w:tc>
      </w:tr>
      <w:tr w:rsidR="00823EE4" w:rsidTr="008D065E">
        <w:trPr>
          <w:trHeight w:val="20"/>
          <w:jc w:val="center"/>
        </w:trPr>
        <w:tc>
          <w:tcPr>
            <w:tcW w:w="613" w:type="dxa"/>
            <w:vMerge/>
            <w:vAlign w:val="center"/>
          </w:tcPr>
          <w:p w:rsidR="00823EE4" w:rsidRDefault="00823EE4" w:rsidP="00823EE4">
            <w:pPr>
              <w:spacing w:line="360" w:lineRule="auto"/>
              <w:jc w:val="center"/>
              <w:rPr>
                <w:rFonts w:ascii="仿宋_GB2312" w:eastAsia="仿宋_GB2312" w:hAnsi="仿宋_GB2312"/>
                <w:b/>
                <w:sz w:val="24"/>
              </w:rPr>
            </w:pPr>
          </w:p>
        </w:tc>
        <w:tc>
          <w:tcPr>
            <w:tcW w:w="2301" w:type="dxa"/>
            <w:vMerge/>
            <w:vAlign w:val="center"/>
          </w:tcPr>
          <w:p w:rsidR="00823EE4" w:rsidRDefault="00823EE4" w:rsidP="00823EE4">
            <w:pPr>
              <w:spacing w:line="360" w:lineRule="auto"/>
              <w:jc w:val="center"/>
              <w:rPr>
                <w:rFonts w:ascii="仿宋_GB2312" w:eastAsia="仿宋_GB2312" w:hAnsi="仿宋_GB2312"/>
                <w:b/>
                <w:sz w:val="24"/>
              </w:rPr>
            </w:pPr>
          </w:p>
        </w:tc>
        <w:tc>
          <w:tcPr>
            <w:tcW w:w="2804" w:type="dxa"/>
            <w:gridSpan w:val="2"/>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基金管理人与本基金同质化的未募集基金数量</w:t>
            </w:r>
          </w:p>
        </w:tc>
        <w:tc>
          <w:tcPr>
            <w:tcW w:w="3208" w:type="dxa"/>
            <w:gridSpan w:val="3"/>
            <w:vAlign w:val="center"/>
          </w:tcPr>
          <w:p w:rsidR="00823EE4" w:rsidRDefault="00CF7D7C" w:rsidP="00823EE4">
            <w:pPr>
              <w:spacing w:line="360" w:lineRule="auto"/>
              <w:jc w:val="center"/>
              <w:rPr>
                <w:rFonts w:ascii="仿宋_GB2312" w:eastAsia="仿宋_GB2312" w:hAnsi="仿宋_GB2312"/>
                <w:sz w:val="24"/>
              </w:rPr>
            </w:pPr>
            <w:r>
              <w:rPr>
                <w:rFonts w:ascii="仿宋_GB2312" w:eastAsia="仿宋_GB2312" w:hAnsi="仿宋_GB2312" w:hint="eastAsia"/>
                <w:sz w:val="24"/>
              </w:rPr>
              <w:t>无</w:t>
            </w:r>
          </w:p>
        </w:tc>
      </w:tr>
      <w:tr w:rsidR="00823EE4" w:rsidTr="008D065E">
        <w:trPr>
          <w:trHeight w:val="20"/>
          <w:jc w:val="center"/>
        </w:trPr>
        <w:tc>
          <w:tcPr>
            <w:tcW w:w="613" w:type="dxa"/>
            <w:vMerge/>
            <w:vAlign w:val="center"/>
          </w:tcPr>
          <w:p w:rsidR="00823EE4" w:rsidRDefault="00823EE4" w:rsidP="00823EE4">
            <w:pPr>
              <w:spacing w:line="360" w:lineRule="auto"/>
              <w:jc w:val="center"/>
              <w:rPr>
                <w:rFonts w:ascii="仿宋_GB2312" w:eastAsia="仿宋_GB2312" w:hAnsi="仿宋_GB2312"/>
                <w:b/>
                <w:sz w:val="24"/>
              </w:rPr>
            </w:pPr>
          </w:p>
        </w:tc>
        <w:tc>
          <w:tcPr>
            <w:tcW w:w="2301" w:type="dxa"/>
            <w:vMerge/>
            <w:vAlign w:val="center"/>
          </w:tcPr>
          <w:p w:rsidR="00823EE4" w:rsidRDefault="00823EE4" w:rsidP="00823EE4">
            <w:pPr>
              <w:spacing w:line="360" w:lineRule="auto"/>
              <w:jc w:val="center"/>
              <w:rPr>
                <w:rFonts w:ascii="仿宋_GB2312" w:eastAsia="仿宋_GB2312" w:hAnsi="仿宋_GB2312"/>
                <w:b/>
                <w:sz w:val="24"/>
              </w:rPr>
            </w:pPr>
          </w:p>
        </w:tc>
        <w:tc>
          <w:tcPr>
            <w:tcW w:w="2804" w:type="dxa"/>
            <w:gridSpan w:val="2"/>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迷你基金数量</w:t>
            </w:r>
          </w:p>
        </w:tc>
        <w:tc>
          <w:tcPr>
            <w:tcW w:w="3208" w:type="dxa"/>
            <w:gridSpan w:val="3"/>
            <w:vAlign w:val="center"/>
          </w:tcPr>
          <w:p w:rsidR="00C1433B" w:rsidRDefault="005B6720" w:rsidP="00A51B81">
            <w:pPr>
              <w:spacing w:line="360" w:lineRule="auto"/>
              <w:jc w:val="center"/>
              <w:rPr>
                <w:rFonts w:ascii="仿宋_GB2312" w:eastAsia="仿宋_GB2312" w:hAnsi="仿宋_GB2312"/>
                <w:sz w:val="24"/>
              </w:rPr>
            </w:pPr>
            <w:r w:rsidRPr="005B6720">
              <w:rPr>
                <w:rFonts w:ascii="仿宋_GB2312" w:eastAsia="仿宋_GB2312" w:hAnsi="仿宋_GB2312" w:hint="eastAsia"/>
                <w:sz w:val="24"/>
              </w:rPr>
              <w:t>3只</w:t>
            </w:r>
          </w:p>
          <w:p w:rsidR="00823EE4" w:rsidRDefault="00BC0EFC" w:rsidP="00BC0EFC">
            <w:pPr>
              <w:spacing w:line="360" w:lineRule="auto"/>
              <w:rPr>
                <w:rFonts w:ascii="仿宋_GB2312" w:eastAsia="仿宋_GB2312" w:hAnsi="仿宋_GB2312"/>
                <w:sz w:val="24"/>
              </w:rPr>
            </w:pPr>
            <w:r w:rsidRPr="00BC0EFC">
              <w:rPr>
                <w:rFonts w:ascii="仿宋_GB2312" w:eastAsia="仿宋_GB2312" w:hAnsi="仿宋_GB2312" w:hint="eastAsia"/>
                <w:sz w:val="24"/>
              </w:rPr>
              <w:t>（不含权益类基金和发起式基金，其中有1只连续60个工作日基金资产净值低于5000万元或者基金份额持有</w:t>
            </w:r>
            <w:r w:rsidRPr="00BC0EFC">
              <w:rPr>
                <w:rFonts w:ascii="仿宋_GB2312" w:eastAsia="仿宋_GB2312" w:hAnsi="仿宋_GB2312" w:hint="eastAsia"/>
                <w:sz w:val="24"/>
              </w:rPr>
              <w:lastRenderedPageBreak/>
              <w:t>人数不满200人的基金产品，具体请详见附表2）</w:t>
            </w:r>
          </w:p>
        </w:tc>
      </w:tr>
      <w:tr w:rsidR="00823EE4" w:rsidTr="008D065E">
        <w:trPr>
          <w:trHeight w:val="20"/>
          <w:jc w:val="center"/>
        </w:trPr>
        <w:tc>
          <w:tcPr>
            <w:tcW w:w="613" w:type="dxa"/>
            <w:vMerge/>
            <w:vAlign w:val="center"/>
          </w:tcPr>
          <w:p w:rsidR="00823EE4" w:rsidRDefault="00823EE4" w:rsidP="00823EE4">
            <w:pPr>
              <w:spacing w:line="360" w:lineRule="auto"/>
              <w:jc w:val="center"/>
              <w:rPr>
                <w:rFonts w:ascii="仿宋_GB2312" w:eastAsia="仿宋_GB2312" w:hAnsi="仿宋_GB2312"/>
                <w:b/>
                <w:sz w:val="24"/>
              </w:rPr>
            </w:pPr>
          </w:p>
        </w:tc>
        <w:tc>
          <w:tcPr>
            <w:tcW w:w="2301" w:type="dxa"/>
            <w:vMerge/>
            <w:vAlign w:val="center"/>
          </w:tcPr>
          <w:p w:rsidR="00823EE4" w:rsidRDefault="00823EE4" w:rsidP="00823EE4">
            <w:pPr>
              <w:spacing w:line="360" w:lineRule="auto"/>
              <w:jc w:val="center"/>
              <w:rPr>
                <w:rFonts w:ascii="仿宋_GB2312" w:eastAsia="仿宋_GB2312" w:hAnsi="仿宋_GB2312"/>
                <w:b/>
                <w:sz w:val="24"/>
              </w:rPr>
            </w:pPr>
          </w:p>
        </w:tc>
        <w:tc>
          <w:tcPr>
            <w:tcW w:w="2804" w:type="dxa"/>
            <w:gridSpan w:val="2"/>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近一年内被我会采取行政监管措施的情况</w:t>
            </w:r>
          </w:p>
        </w:tc>
        <w:tc>
          <w:tcPr>
            <w:tcW w:w="3208" w:type="dxa"/>
            <w:gridSpan w:val="3"/>
            <w:vAlign w:val="center"/>
          </w:tcPr>
          <w:p w:rsidR="00823EE4" w:rsidRDefault="00AB7540">
            <w:pPr>
              <w:spacing w:line="360" w:lineRule="auto"/>
              <w:jc w:val="center"/>
              <w:rPr>
                <w:rFonts w:ascii="仿宋_GB2312" w:eastAsia="仿宋_GB2312" w:hAnsi="仿宋_GB2312"/>
                <w:sz w:val="24"/>
              </w:rPr>
            </w:pPr>
            <w:r w:rsidRPr="00AB7540">
              <w:rPr>
                <w:rFonts w:ascii="仿宋_GB2312" w:eastAsia="仿宋_GB2312" w:hAnsi="仿宋_GB2312" w:hint="eastAsia"/>
                <w:sz w:val="24"/>
              </w:rPr>
              <w:t>有，本公司近一年被深圳证监局采取出具</w:t>
            </w:r>
            <w:r w:rsidR="00D62F43" w:rsidRPr="00D62F43">
              <w:rPr>
                <w:rFonts w:ascii="仿宋_GB2312" w:eastAsia="仿宋_GB2312" w:hAnsi="仿宋_GB2312" w:hint="eastAsia"/>
                <w:sz w:val="24"/>
              </w:rPr>
              <w:t>责令改正行政监管措施</w:t>
            </w:r>
            <w:r w:rsidRPr="00AB7540">
              <w:rPr>
                <w:rFonts w:ascii="仿宋_GB2312" w:eastAsia="仿宋_GB2312" w:hAnsi="仿宋_GB2312" w:hint="eastAsia"/>
                <w:sz w:val="24"/>
              </w:rPr>
              <w:t>，公司已完成整改。</w:t>
            </w:r>
          </w:p>
        </w:tc>
      </w:tr>
      <w:tr w:rsidR="00823EE4" w:rsidTr="008D065E">
        <w:trPr>
          <w:trHeight w:val="20"/>
          <w:jc w:val="center"/>
        </w:trPr>
        <w:tc>
          <w:tcPr>
            <w:tcW w:w="613" w:type="dxa"/>
            <w:vMerge/>
            <w:vAlign w:val="center"/>
          </w:tcPr>
          <w:p w:rsidR="00823EE4" w:rsidRDefault="00823EE4" w:rsidP="00823EE4">
            <w:pPr>
              <w:spacing w:line="360" w:lineRule="auto"/>
              <w:jc w:val="center"/>
              <w:rPr>
                <w:rFonts w:ascii="仿宋_GB2312" w:eastAsia="仿宋_GB2312" w:hAnsi="仿宋_GB2312"/>
                <w:b/>
                <w:sz w:val="24"/>
              </w:rPr>
            </w:pPr>
          </w:p>
        </w:tc>
        <w:tc>
          <w:tcPr>
            <w:tcW w:w="2301" w:type="dxa"/>
            <w:vMerge/>
            <w:vAlign w:val="center"/>
          </w:tcPr>
          <w:p w:rsidR="00823EE4" w:rsidRDefault="00823EE4" w:rsidP="00823EE4">
            <w:pPr>
              <w:spacing w:line="360" w:lineRule="auto"/>
              <w:jc w:val="center"/>
              <w:rPr>
                <w:rFonts w:ascii="仿宋_GB2312" w:eastAsia="仿宋_GB2312" w:hAnsi="仿宋_GB2312"/>
                <w:b/>
                <w:sz w:val="24"/>
              </w:rPr>
            </w:pPr>
          </w:p>
        </w:tc>
        <w:tc>
          <w:tcPr>
            <w:tcW w:w="2804" w:type="dxa"/>
            <w:gridSpan w:val="2"/>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基金经理人均管理产品数量</w:t>
            </w:r>
          </w:p>
        </w:tc>
        <w:tc>
          <w:tcPr>
            <w:tcW w:w="3208" w:type="dxa"/>
            <w:gridSpan w:val="3"/>
            <w:vAlign w:val="center"/>
          </w:tcPr>
          <w:p w:rsidR="00823EE4" w:rsidRDefault="00823EE4" w:rsidP="00823EE4">
            <w:pPr>
              <w:spacing w:line="360" w:lineRule="auto"/>
              <w:jc w:val="center"/>
              <w:rPr>
                <w:rFonts w:ascii="仿宋_GB2312" w:eastAsia="仿宋_GB2312" w:hAnsi="仿宋_GB2312"/>
                <w:sz w:val="24"/>
              </w:rPr>
            </w:pPr>
            <w:r w:rsidRPr="00936CB3">
              <w:rPr>
                <w:rFonts w:ascii="仿宋_GB2312" w:eastAsia="仿宋_GB2312" w:hAnsi="仿宋_GB2312" w:hint="eastAsia"/>
                <w:sz w:val="24"/>
              </w:rPr>
              <w:t>4只</w:t>
            </w:r>
          </w:p>
        </w:tc>
      </w:tr>
      <w:tr w:rsidR="00823EE4" w:rsidTr="008D065E">
        <w:trPr>
          <w:trHeight w:val="20"/>
          <w:jc w:val="center"/>
        </w:trPr>
        <w:tc>
          <w:tcPr>
            <w:tcW w:w="613" w:type="dxa"/>
            <w:vMerge/>
            <w:vAlign w:val="center"/>
          </w:tcPr>
          <w:p w:rsidR="00823EE4" w:rsidRDefault="00823EE4" w:rsidP="00823EE4">
            <w:pPr>
              <w:spacing w:line="360" w:lineRule="auto"/>
              <w:jc w:val="center"/>
              <w:rPr>
                <w:rFonts w:ascii="仿宋_GB2312" w:eastAsia="仿宋_GB2312" w:hAnsi="仿宋_GB2312"/>
                <w:b/>
                <w:sz w:val="24"/>
              </w:rPr>
            </w:pPr>
          </w:p>
        </w:tc>
        <w:tc>
          <w:tcPr>
            <w:tcW w:w="2301" w:type="dxa"/>
            <w:vMerge/>
            <w:vAlign w:val="center"/>
          </w:tcPr>
          <w:p w:rsidR="00823EE4" w:rsidRDefault="00823EE4" w:rsidP="00823EE4">
            <w:pPr>
              <w:spacing w:line="360" w:lineRule="auto"/>
              <w:jc w:val="center"/>
              <w:rPr>
                <w:rFonts w:ascii="仿宋_GB2312" w:eastAsia="仿宋_GB2312" w:hAnsi="仿宋_GB2312"/>
                <w:b/>
                <w:sz w:val="24"/>
              </w:rPr>
            </w:pPr>
          </w:p>
        </w:tc>
        <w:tc>
          <w:tcPr>
            <w:tcW w:w="2804" w:type="dxa"/>
            <w:gridSpan w:val="2"/>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超期未募产品数量</w:t>
            </w:r>
          </w:p>
        </w:tc>
        <w:tc>
          <w:tcPr>
            <w:tcW w:w="3208" w:type="dxa"/>
            <w:gridSpan w:val="3"/>
          </w:tcPr>
          <w:p w:rsidR="00823EE4" w:rsidRDefault="001072BE" w:rsidP="00823EE4">
            <w:pPr>
              <w:spacing w:line="360" w:lineRule="auto"/>
              <w:jc w:val="center"/>
              <w:rPr>
                <w:rFonts w:ascii="仿宋_GB2312" w:eastAsia="仿宋_GB2312" w:hAnsi="仿宋_GB2312"/>
                <w:sz w:val="24"/>
              </w:rPr>
            </w:pPr>
            <w:r>
              <w:rPr>
                <w:rFonts w:ascii="仿宋_GB2312" w:eastAsia="仿宋_GB2312" w:hAnsi="仿宋_GB2312"/>
                <w:sz w:val="24"/>
              </w:rPr>
              <w:t>1</w:t>
            </w:r>
            <w:r w:rsidR="00823EE4">
              <w:rPr>
                <w:rFonts w:ascii="仿宋_GB2312" w:eastAsia="仿宋_GB2312" w:hAnsi="仿宋_GB2312" w:hint="eastAsia"/>
                <w:sz w:val="24"/>
              </w:rPr>
              <w:t>只</w:t>
            </w:r>
          </w:p>
        </w:tc>
      </w:tr>
      <w:tr w:rsidR="00823EE4" w:rsidTr="008D065E">
        <w:trPr>
          <w:trHeight w:val="20"/>
          <w:jc w:val="center"/>
        </w:trPr>
        <w:tc>
          <w:tcPr>
            <w:tcW w:w="613" w:type="dxa"/>
            <w:vMerge/>
            <w:vAlign w:val="center"/>
          </w:tcPr>
          <w:p w:rsidR="00823EE4" w:rsidRDefault="00823EE4" w:rsidP="00823EE4">
            <w:pPr>
              <w:spacing w:line="360" w:lineRule="auto"/>
              <w:jc w:val="center"/>
              <w:rPr>
                <w:rFonts w:ascii="仿宋_GB2312" w:eastAsia="仿宋_GB2312" w:hAnsi="仿宋_GB2312"/>
                <w:b/>
                <w:sz w:val="24"/>
              </w:rPr>
            </w:pPr>
          </w:p>
        </w:tc>
        <w:tc>
          <w:tcPr>
            <w:tcW w:w="2301" w:type="dxa"/>
            <w:vMerge/>
            <w:vAlign w:val="center"/>
          </w:tcPr>
          <w:p w:rsidR="00823EE4" w:rsidRDefault="00823EE4" w:rsidP="00823EE4">
            <w:pPr>
              <w:spacing w:line="360" w:lineRule="auto"/>
              <w:jc w:val="center"/>
              <w:rPr>
                <w:rFonts w:ascii="仿宋_GB2312" w:eastAsia="仿宋_GB2312" w:hAnsi="仿宋_GB2312"/>
                <w:b/>
                <w:sz w:val="24"/>
              </w:rPr>
            </w:pPr>
          </w:p>
        </w:tc>
        <w:tc>
          <w:tcPr>
            <w:tcW w:w="2804" w:type="dxa"/>
            <w:gridSpan w:val="2"/>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拟任基金经理及其管理产品数量</w:t>
            </w:r>
          </w:p>
        </w:tc>
        <w:tc>
          <w:tcPr>
            <w:tcW w:w="3208" w:type="dxa"/>
            <w:gridSpan w:val="3"/>
            <w:vAlign w:val="center"/>
          </w:tcPr>
          <w:p w:rsidR="00E07CA8" w:rsidRDefault="00D62F43" w:rsidP="004361E3">
            <w:pPr>
              <w:spacing w:line="360" w:lineRule="auto"/>
              <w:rPr>
                <w:rFonts w:ascii="仿宋_GB2312" w:eastAsia="仿宋_GB2312" w:hAnsi="仿宋_GB2312"/>
                <w:sz w:val="24"/>
              </w:rPr>
            </w:pPr>
            <w:r>
              <w:rPr>
                <w:rFonts w:ascii="仿宋_GB2312" w:eastAsia="仿宋_GB2312" w:hAnsi="仿宋_GB2312" w:hint="eastAsia"/>
                <w:sz w:val="24"/>
              </w:rPr>
              <w:t>{{基金经理}}</w:t>
            </w:r>
            <w:r w:rsidR="000040E2">
              <w:rPr>
                <w:rFonts w:ascii="仿宋_GB2312" w:eastAsia="仿宋_GB2312" w:hAnsi="仿宋_GB2312" w:hint="eastAsia"/>
                <w:sz w:val="24"/>
              </w:rPr>
              <w:t>（中</w:t>
            </w:r>
            <w:proofErr w:type="gramStart"/>
            <w:r w:rsidR="000040E2">
              <w:rPr>
                <w:rFonts w:ascii="仿宋_GB2312" w:eastAsia="仿宋_GB2312" w:hAnsi="仿宋_GB2312" w:hint="eastAsia"/>
                <w:sz w:val="24"/>
              </w:rPr>
              <w:t>基协基注</w:t>
            </w:r>
            <w:proofErr w:type="gramEnd"/>
            <w:r w:rsidR="000040E2">
              <w:rPr>
                <w:rFonts w:ascii="仿宋_GB2312" w:eastAsia="仿宋_GB2312" w:hAnsi="仿宋_GB2312" w:hint="eastAsia"/>
                <w:sz w:val="24"/>
              </w:rPr>
              <w:t>〔</w:t>
            </w:r>
            <w:r>
              <w:rPr>
                <w:rFonts w:ascii="仿宋_GB2312" w:eastAsia="仿宋_GB2312" w:hAnsi="仿宋_GB2312" w:hint="eastAsia"/>
                <w:sz w:val="24"/>
              </w:rPr>
              <w:t>{{文号年份}}</w:t>
            </w:r>
            <w:r w:rsidR="000040E2">
              <w:rPr>
                <w:rFonts w:ascii="仿宋_GB2312" w:eastAsia="仿宋_GB2312" w:hAnsi="仿宋_GB2312" w:hint="eastAsia"/>
                <w:sz w:val="24"/>
              </w:rPr>
              <w:t>〕XXXXX号），在管产品</w:t>
            </w:r>
            <w:r w:rsidR="00CC25E5">
              <w:rPr>
                <w:rFonts w:ascii="仿宋_GB2312" w:eastAsia="仿宋_GB2312" w:hAnsi="仿宋_GB2312" w:hint="eastAsia"/>
                <w:sz w:val="24"/>
              </w:rPr>
              <w:t>{{在管产品数量}}</w:t>
            </w:r>
            <w:r w:rsidR="000040E2">
              <w:rPr>
                <w:rFonts w:ascii="仿宋_GB2312" w:eastAsia="仿宋_GB2312" w:hAnsi="仿宋_GB2312" w:hint="eastAsia"/>
                <w:sz w:val="24"/>
              </w:rPr>
              <w:t>只</w:t>
            </w:r>
            <w:r w:rsidR="00CC25E5">
              <w:rPr>
                <w:rFonts w:ascii="仿宋_GB2312" w:eastAsia="仿宋_GB2312" w:hAnsi="仿宋_GB2312" w:hint="eastAsia"/>
                <w:sz w:val="24"/>
              </w:rPr>
              <w:t>，{{被动产品数量}}只为被动产品</w:t>
            </w:r>
            <w:r w:rsidR="000040E2">
              <w:rPr>
                <w:rFonts w:ascii="仿宋_GB2312" w:eastAsia="仿宋_GB2312" w:hAnsi="仿宋_GB2312" w:hint="eastAsia"/>
                <w:sz w:val="24"/>
              </w:rPr>
              <w:t>。</w:t>
            </w:r>
          </w:p>
        </w:tc>
      </w:tr>
      <w:tr w:rsidR="00823EE4" w:rsidTr="008D065E">
        <w:trPr>
          <w:trHeight w:val="20"/>
          <w:jc w:val="center"/>
        </w:trPr>
        <w:tc>
          <w:tcPr>
            <w:tcW w:w="613" w:type="dxa"/>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18</w:t>
            </w:r>
          </w:p>
        </w:tc>
        <w:tc>
          <w:tcPr>
            <w:tcW w:w="2301" w:type="dxa"/>
            <w:vAlign w:val="center"/>
          </w:tcPr>
          <w:p w:rsidR="00823EE4" w:rsidRDefault="00823EE4"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申请报告名称及文号</w:t>
            </w:r>
          </w:p>
        </w:tc>
        <w:tc>
          <w:tcPr>
            <w:tcW w:w="6012" w:type="dxa"/>
            <w:gridSpan w:val="5"/>
            <w:vAlign w:val="center"/>
          </w:tcPr>
          <w:p w:rsidR="00823EE4" w:rsidRPr="003834A6" w:rsidRDefault="00823EE4" w:rsidP="00BB2DEC">
            <w:pPr>
              <w:spacing w:line="360" w:lineRule="auto"/>
              <w:rPr>
                <w:rFonts w:ascii="仿宋_GB2312" w:eastAsia="仿宋_GB2312" w:hAnsi="仿宋_GB2312"/>
                <w:sz w:val="24"/>
              </w:rPr>
            </w:pPr>
            <w:r>
              <w:rPr>
                <w:rFonts w:ascii="仿宋_GB2312" w:eastAsia="仿宋_GB2312" w:hAnsi="仿宋_GB2312" w:hint="eastAsia"/>
                <w:sz w:val="24"/>
              </w:rPr>
              <w:t>《关于南方</w:t>
            </w:r>
            <w:r w:rsidR="00D62F43">
              <w:rPr>
                <w:rFonts w:ascii="仿宋_GB2312" w:eastAsia="仿宋_GB2312" w:hAnsi="仿宋_GB2312" w:hint="eastAsia"/>
                <w:sz w:val="24"/>
              </w:rPr>
              <w:t>{{指数名称}}</w:t>
            </w:r>
            <w:r>
              <w:rPr>
                <w:rFonts w:ascii="仿宋_GB2312" w:eastAsia="仿宋_GB2312" w:hAnsi="仿宋_GB2312" w:hint="eastAsia"/>
                <w:sz w:val="24"/>
              </w:rPr>
              <w:t>交易型开放式指数证券投资基金募集的请示》（南基〔</w:t>
            </w:r>
            <w:r w:rsidR="00D62F43">
              <w:rPr>
                <w:rFonts w:ascii="仿宋_GB2312" w:eastAsia="仿宋_GB2312" w:hAnsi="仿宋_GB2312" w:hint="eastAsia"/>
                <w:sz w:val="24"/>
              </w:rPr>
              <w:t>{{文号年份}}</w:t>
            </w:r>
            <w:r>
              <w:rPr>
                <w:rFonts w:ascii="仿宋_GB2312" w:eastAsia="仿宋_GB2312" w:hAnsi="仿宋_GB2312" w:hint="eastAsia"/>
                <w:sz w:val="24"/>
              </w:rPr>
              <w:t>〕号）</w:t>
            </w:r>
          </w:p>
        </w:tc>
      </w:tr>
      <w:tr w:rsidR="00E07F29" w:rsidTr="008D065E">
        <w:trPr>
          <w:trHeight w:val="20"/>
          <w:jc w:val="center"/>
        </w:trPr>
        <w:tc>
          <w:tcPr>
            <w:tcW w:w="613" w:type="dxa"/>
            <w:vAlign w:val="center"/>
          </w:tcPr>
          <w:p w:rsidR="00E07F29" w:rsidRDefault="00E07F29"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1</w:t>
            </w:r>
            <w:r>
              <w:rPr>
                <w:rFonts w:ascii="仿宋_GB2312" w:eastAsia="仿宋_GB2312" w:hAnsi="仿宋_GB2312"/>
                <w:b/>
                <w:sz w:val="24"/>
              </w:rPr>
              <w:t>9</w:t>
            </w:r>
          </w:p>
        </w:tc>
        <w:tc>
          <w:tcPr>
            <w:tcW w:w="2301" w:type="dxa"/>
            <w:vAlign w:val="center"/>
          </w:tcPr>
          <w:p w:rsidR="00E07F29" w:rsidRDefault="00B551D6"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受理单号</w:t>
            </w:r>
          </w:p>
        </w:tc>
        <w:tc>
          <w:tcPr>
            <w:tcW w:w="6012" w:type="dxa"/>
            <w:gridSpan w:val="5"/>
            <w:vAlign w:val="center"/>
          </w:tcPr>
          <w:p w:rsidR="00E07F29" w:rsidRDefault="00E07F29" w:rsidP="005D3DB3">
            <w:pPr>
              <w:spacing w:line="360" w:lineRule="auto"/>
              <w:rPr>
                <w:rFonts w:ascii="仿宋_GB2312" w:eastAsia="仿宋_GB2312" w:hAnsi="仿宋_GB2312"/>
                <w:sz w:val="24"/>
              </w:rPr>
            </w:pPr>
          </w:p>
        </w:tc>
      </w:tr>
      <w:tr w:rsidR="00E07F29" w:rsidTr="008D065E">
        <w:trPr>
          <w:trHeight w:val="20"/>
          <w:jc w:val="center"/>
        </w:trPr>
        <w:tc>
          <w:tcPr>
            <w:tcW w:w="613" w:type="dxa"/>
            <w:vAlign w:val="center"/>
          </w:tcPr>
          <w:p w:rsidR="00E07F29" w:rsidRDefault="003F390D"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2</w:t>
            </w:r>
            <w:r>
              <w:rPr>
                <w:rFonts w:ascii="仿宋_GB2312" w:eastAsia="仿宋_GB2312" w:hAnsi="仿宋_GB2312"/>
                <w:b/>
                <w:sz w:val="24"/>
              </w:rPr>
              <w:t>0</w:t>
            </w:r>
          </w:p>
        </w:tc>
        <w:tc>
          <w:tcPr>
            <w:tcW w:w="2301" w:type="dxa"/>
            <w:vAlign w:val="center"/>
          </w:tcPr>
          <w:p w:rsidR="00E07F29" w:rsidRDefault="006965BC"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预期募集规模上限</w:t>
            </w:r>
          </w:p>
        </w:tc>
        <w:tc>
          <w:tcPr>
            <w:tcW w:w="6012" w:type="dxa"/>
            <w:gridSpan w:val="5"/>
            <w:vAlign w:val="center"/>
          </w:tcPr>
          <w:p w:rsidR="00E07F29" w:rsidRDefault="00E15ED0" w:rsidP="005D3DB3">
            <w:pPr>
              <w:spacing w:line="360" w:lineRule="auto"/>
              <w:rPr>
                <w:rFonts w:ascii="仿宋_GB2312" w:eastAsia="仿宋_GB2312" w:hAnsi="仿宋_GB2312"/>
                <w:sz w:val="24"/>
              </w:rPr>
            </w:pPr>
            <w:r>
              <w:rPr>
                <w:rFonts w:ascii="仿宋_GB2312" w:eastAsia="仿宋_GB2312" w:hAnsi="仿宋_GB2312"/>
                <w:sz w:val="24"/>
              </w:rPr>
              <w:t>80</w:t>
            </w:r>
            <w:r w:rsidR="0066711B">
              <w:rPr>
                <w:rFonts w:ascii="仿宋_GB2312" w:eastAsia="仿宋_GB2312" w:hAnsi="仿宋_GB2312" w:hint="eastAsia"/>
                <w:sz w:val="24"/>
              </w:rPr>
              <w:t>亿元</w:t>
            </w:r>
          </w:p>
        </w:tc>
      </w:tr>
      <w:tr w:rsidR="00921F02" w:rsidTr="008D065E">
        <w:trPr>
          <w:trHeight w:val="20"/>
          <w:jc w:val="center"/>
        </w:trPr>
        <w:tc>
          <w:tcPr>
            <w:tcW w:w="613" w:type="dxa"/>
            <w:vAlign w:val="center"/>
          </w:tcPr>
          <w:p w:rsidR="00921F02" w:rsidRDefault="00921F02"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2</w:t>
            </w:r>
            <w:r>
              <w:rPr>
                <w:rFonts w:ascii="仿宋_GB2312" w:eastAsia="仿宋_GB2312" w:hAnsi="仿宋_GB2312"/>
                <w:b/>
                <w:sz w:val="24"/>
              </w:rPr>
              <w:t>1</w:t>
            </w:r>
          </w:p>
        </w:tc>
        <w:tc>
          <w:tcPr>
            <w:tcW w:w="2301" w:type="dxa"/>
            <w:vAlign w:val="center"/>
          </w:tcPr>
          <w:p w:rsidR="00921F02" w:rsidRDefault="00921F02" w:rsidP="00823EE4">
            <w:pPr>
              <w:spacing w:line="360" w:lineRule="auto"/>
              <w:jc w:val="center"/>
              <w:rPr>
                <w:rFonts w:ascii="仿宋_GB2312" w:eastAsia="仿宋_GB2312" w:hAnsi="仿宋_GB2312"/>
                <w:b/>
                <w:sz w:val="24"/>
              </w:rPr>
            </w:pPr>
            <w:r>
              <w:rPr>
                <w:rFonts w:ascii="仿宋_GB2312" w:eastAsia="仿宋_GB2312" w:hAnsi="仿宋_GB2312" w:hint="eastAsia"/>
                <w:b/>
                <w:sz w:val="24"/>
              </w:rPr>
              <w:t>结算模式</w:t>
            </w:r>
          </w:p>
        </w:tc>
        <w:tc>
          <w:tcPr>
            <w:tcW w:w="6012" w:type="dxa"/>
            <w:gridSpan w:val="5"/>
            <w:vAlign w:val="center"/>
          </w:tcPr>
          <w:p w:rsidR="00921F02" w:rsidRDefault="001D5DBD" w:rsidP="00FC6D6A">
            <w:pPr>
              <w:spacing w:line="360" w:lineRule="auto"/>
              <w:rPr>
                <w:rFonts w:ascii="仿宋_GB2312" w:eastAsia="仿宋_GB2312" w:hAnsi="仿宋_GB2312"/>
                <w:sz w:val="24"/>
              </w:rPr>
            </w:pPr>
            <w:r>
              <w:rPr>
                <w:rFonts w:ascii="仿宋_GB2312" w:eastAsia="仿宋_GB2312" w:hAnsi="仿宋_GB2312" w:hint="eastAsia"/>
                <w:sz w:val="24"/>
              </w:rPr>
              <w:t>券商结算模式</w:t>
            </w:r>
          </w:p>
        </w:tc>
      </w:tr>
    </w:tbl>
    <w:p w:rsidR="000436CB" w:rsidRDefault="000436CB">
      <w:pPr>
        <w:widowControl/>
        <w:jc w:val="left"/>
        <w:rPr>
          <w:rFonts w:ascii="仿宋_GB2312" w:eastAsia="仿宋_GB2312" w:hAnsi="仿宋_GB2312"/>
          <w:b/>
          <w:sz w:val="24"/>
        </w:rPr>
      </w:pPr>
    </w:p>
    <w:p w:rsidR="0018424D" w:rsidRDefault="0018424D" w:rsidP="00DD279C">
      <w:pPr>
        <w:widowControl/>
        <w:jc w:val="left"/>
        <w:rPr>
          <w:rFonts w:ascii="仿宋_GB2312" w:eastAsia="仿宋_GB2312" w:hAnsi="仿宋_GB2312"/>
          <w:b/>
          <w:sz w:val="24"/>
        </w:rPr>
      </w:pPr>
      <w:r w:rsidRPr="00F620F3">
        <w:rPr>
          <w:rFonts w:ascii="仿宋_GB2312" w:eastAsia="仿宋_GB2312" w:hAnsi="仿宋_GB2312" w:hint="eastAsia"/>
          <w:b/>
          <w:sz w:val="24"/>
        </w:rPr>
        <w:t>附表：南方基金旗下迷你基金处理方案（截至</w:t>
      </w:r>
      <w:r w:rsidR="00D4305A">
        <w:rPr>
          <w:rFonts w:ascii="仿宋_GB2312" w:eastAsia="仿宋_GB2312" w:hAnsi="仿宋_GB2312" w:hint="eastAsia"/>
          <w:b/>
          <w:sz w:val="24"/>
        </w:rPr>
        <w:t>{{数据截止日期}}</w:t>
      </w:r>
      <w:r w:rsidRPr="00F620F3">
        <w:rPr>
          <w:rFonts w:ascii="仿宋_GB2312" w:eastAsia="仿宋_GB2312" w:hAnsi="仿宋_GB2312" w:hint="eastAsia"/>
          <w:b/>
          <w:sz w:val="24"/>
        </w:rPr>
        <w:t>）：</w:t>
      </w:r>
    </w:p>
    <w:tbl>
      <w:tblPr>
        <w:tblW w:w="10111" w:type="dxa"/>
        <w:jc w:val="center"/>
        <w:tblLook w:val="04A0" w:firstRow="1" w:lastRow="0" w:firstColumn="1" w:lastColumn="0" w:noHBand="0" w:noVBand="1"/>
      </w:tblPr>
      <w:tblGrid>
        <w:gridCol w:w="1134"/>
        <w:gridCol w:w="1322"/>
        <w:gridCol w:w="1428"/>
        <w:gridCol w:w="1134"/>
        <w:gridCol w:w="1418"/>
        <w:gridCol w:w="992"/>
        <w:gridCol w:w="2683"/>
      </w:tblGrid>
      <w:tr w:rsidR="00B46642" w:rsidRPr="00B83BDA" w:rsidTr="00FA0CE8">
        <w:trPr>
          <w:trHeight w:val="324"/>
          <w:jc w:val="center"/>
        </w:trPr>
        <w:tc>
          <w:tcPr>
            <w:tcW w:w="113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B46642" w:rsidRPr="00B83BDA" w:rsidRDefault="00B46642" w:rsidP="008C3363">
            <w:pPr>
              <w:widowControl/>
              <w:jc w:val="center"/>
              <w:rPr>
                <w:rFonts w:ascii="仿宋_GB2312" w:eastAsia="仿宋_GB2312" w:hAnsi="仿宋" w:cs="Calibri"/>
                <w:kern w:val="0"/>
                <w:sz w:val="22"/>
                <w:szCs w:val="22"/>
              </w:rPr>
            </w:pPr>
            <w:r w:rsidRPr="00B83BDA">
              <w:rPr>
                <w:rFonts w:ascii="仿宋_GB2312" w:eastAsia="仿宋_GB2312" w:hAnsi="仿宋" w:cs="Calibri" w:hint="eastAsia"/>
                <w:kern w:val="0"/>
                <w:sz w:val="22"/>
                <w:szCs w:val="22"/>
              </w:rPr>
              <w:t>基金名称</w:t>
            </w:r>
          </w:p>
        </w:tc>
        <w:tc>
          <w:tcPr>
            <w:tcW w:w="1322" w:type="dxa"/>
            <w:tcBorders>
              <w:top w:val="single" w:sz="4" w:space="0" w:color="auto"/>
              <w:left w:val="nil"/>
              <w:bottom w:val="single" w:sz="4" w:space="0" w:color="auto"/>
              <w:right w:val="single" w:sz="4" w:space="0" w:color="auto"/>
            </w:tcBorders>
            <w:shd w:val="clear" w:color="auto" w:fill="auto"/>
            <w:noWrap/>
            <w:vAlign w:val="center"/>
            <w:hideMark/>
          </w:tcPr>
          <w:p w:rsidR="00B46642" w:rsidRPr="00B83BDA" w:rsidRDefault="00B46642" w:rsidP="008C3363">
            <w:pPr>
              <w:widowControl/>
              <w:jc w:val="center"/>
              <w:rPr>
                <w:rFonts w:ascii="仿宋_GB2312" w:eastAsia="仿宋_GB2312" w:hAnsi="仿宋" w:cs="Calibri"/>
                <w:kern w:val="0"/>
                <w:sz w:val="22"/>
                <w:szCs w:val="22"/>
              </w:rPr>
            </w:pPr>
            <w:r w:rsidRPr="00B83BDA">
              <w:rPr>
                <w:rFonts w:ascii="仿宋_GB2312" w:eastAsia="仿宋_GB2312" w:hAnsi="仿宋" w:cs="Calibri" w:hint="eastAsia"/>
                <w:kern w:val="0"/>
                <w:sz w:val="22"/>
                <w:szCs w:val="22"/>
              </w:rPr>
              <w:t>成立日期</w:t>
            </w:r>
          </w:p>
        </w:tc>
        <w:tc>
          <w:tcPr>
            <w:tcW w:w="1428" w:type="dxa"/>
            <w:tcBorders>
              <w:top w:val="single" w:sz="4" w:space="0" w:color="auto"/>
              <w:left w:val="nil"/>
              <w:bottom w:val="single" w:sz="4" w:space="0" w:color="auto"/>
              <w:right w:val="single" w:sz="4" w:space="0" w:color="auto"/>
            </w:tcBorders>
            <w:shd w:val="clear" w:color="auto" w:fill="auto"/>
            <w:noWrap/>
            <w:vAlign w:val="center"/>
            <w:hideMark/>
          </w:tcPr>
          <w:p w:rsidR="00B46642" w:rsidRPr="00B83BDA" w:rsidRDefault="00B46642" w:rsidP="008C3363">
            <w:pPr>
              <w:widowControl/>
              <w:jc w:val="center"/>
              <w:rPr>
                <w:rFonts w:ascii="仿宋_GB2312" w:eastAsia="仿宋_GB2312" w:hAnsi="仿宋" w:cs="Calibri"/>
                <w:kern w:val="0"/>
                <w:sz w:val="22"/>
                <w:szCs w:val="22"/>
              </w:rPr>
            </w:pPr>
            <w:r w:rsidRPr="00B83BDA">
              <w:rPr>
                <w:rFonts w:ascii="仿宋_GB2312" w:eastAsia="仿宋_GB2312" w:hAnsi="仿宋" w:cs="Calibri" w:hint="eastAsia"/>
                <w:kern w:val="0"/>
                <w:sz w:val="22"/>
                <w:szCs w:val="22"/>
              </w:rPr>
              <w:t>基金类型</w:t>
            </w:r>
          </w:p>
        </w:tc>
        <w:tc>
          <w:tcPr>
            <w:tcW w:w="1134" w:type="dxa"/>
            <w:tcBorders>
              <w:top w:val="single" w:sz="4" w:space="0" w:color="auto"/>
              <w:left w:val="nil"/>
              <w:bottom w:val="single" w:sz="4" w:space="0" w:color="auto"/>
              <w:right w:val="single" w:sz="4" w:space="0" w:color="auto"/>
            </w:tcBorders>
            <w:shd w:val="clear" w:color="auto" w:fill="auto"/>
            <w:noWrap/>
            <w:vAlign w:val="center"/>
            <w:hideMark/>
          </w:tcPr>
          <w:p w:rsidR="00B46642" w:rsidRDefault="00B46642" w:rsidP="008C3363">
            <w:pPr>
              <w:widowControl/>
              <w:jc w:val="center"/>
              <w:rPr>
                <w:rFonts w:ascii="仿宋_GB2312" w:eastAsia="仿宋_GB2312" w:hAnsi="仿宋" w:cs="Calibri"/>
                <w:kern w:val="0"/>
                <w:sz w:val="22"/>
                <w:szCs w:val="22"/>
              </w:rPr>
            </w:pPr>
            <w:r w:rsidRPr="00B83BDA">
              <w:rPr>
                <w:rFonts w:ascii="仿宋_GB2312" w:eastAsia="仿宋_GB2312" w:hAnsi="仿宋" w:cs="Calibri" w:hint="eastAsia"/>
                <w:kern w:val="0"/>
                <w:sz w:val="22"/>
                <w:szCs w:val="22"/>
              </w:rPr>
              <w:t>基金规模</w:t>
            </w:r>
          </w:p>
          <w:p w:rsidR="00B46642" w:rsidRPr="00B83BDA" w:rsidRDefault="00B46642" w:rsidP="008C3363">
            <w:pPr>
              <w:widowControl/>
              <w:jc w:val="center"/>
              <w:rPr>
                <w:rFonts w:ascii="仿宋_GB2312" w:eastAsia="仿宋_GB2312" w:hAnsi="仿宋" w:cs="Calibri"/>
                <w:kern w:val="0"/>
                <w:sz w:val="22"/>
                <w:szCs w:val="22"/>
              </w:rPr>
            </w:pPr>
            <w:r>
              <w:rPr>
                <w:rFonts w:ascii="仿宋_GB2312" w:eastAsia="仿宋_GB2312" w:hAnsi="仿宋" w:cs="Calibri" w:hint="eastAsia"/>
                <w:kern w:val="0"/>
                <w:sz w:val="22"/>
                <w:szCs w:val="22"/>
              </w:rPr>
              <w:t>（万元）</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sidR="00B46642" w:rsidRDefault="00B46642" w:rsidP="008C3363">
            <w:pPr>
              <w:widowControl/>
              <w:jc w:val="center"/>
              <w:rPr>
                <w:rFonts w:ascii="仿宋_GB2312" w:eastAsia="仿宋_GB2312" w:hAnsi="仿宋" w:cs="Calibri"/>
                <w:kern w:val="0"/>
                <w:sz w:val="22"/>
                <w:szCs w:val="22"/>
              </w:rPr>
            </w:pPr>
            <w:r w:rsidRPr="00B83BDA">
              <w:rPr>
                <w:rFonts w:ascii="仿宋_GB2312" w:eastAsia="仿宋_GB2312" w:hAnsi="仿宋" w:cs="Calibri" w:hint="eastAsia"/>
                <w:kern w:val="0"/>
                <w:sz w:val="22"/>
                <w:szCs w:val="22"/>
              </w:rPr>
              <w:t>持续天数</w:t>
            </w:r>
          </w:p>
          <w:p w:rsidR="00B46642" w:rsidRPr="00B83BDA" w:rsidRDefault="00B46642" w:rsidP="008C3363">
            <w:pPr>
              <w:widowControl/>
              <w:jc w:val="center"/>
              <w:rPr>
                <w:rFonts w:ascii="仿宋_GB2312" w:eastAsia="仿宋_GB2312" w:hAnsi="仿宋" w:cs="Calibri"/>
                <w:kern w:val="0"/>
                <w:sz w:val="22"/>
                <w:szCs w:val="22"/>
              </w:rPr>
            </w:pPr>
            <w:r w:rsidRPr="00B83BDA">
              <w:rPr>
                <w:rFonts w:ascii="仿宋_GB2312" w:eastAsia="仿宋_GB2312" w:hAnsi="仿宋" w:cs="Calibri" w:hint="eastAsia"/>
                <w:kern w:val="0"/>
                <w:sz w:val="22"/>
                <w:szCs w:val="22"/>
              </w:rPr>
              <w:t>（工作日）</w:t>
            </w:r>
          </w:p>
        </w:tc>
        <w:tc>
          <w:tcPr>
            <w:tcW w:w="992" w:type="dxa"/>
            <w:tcBorders>
              <w:top w:val="single" w:sz="4" w:space="0" w:color="auto"/>
              <w:left w:val="nil"/>
              <w:bottom w:val="single" w:sz="4" w:space="0" w:color="auto"/>
              <w:right w:val="single" w:sz="4" w:space="0" w:color="auto"/>
            </w:tcBorders>
            <w:shd w:val="clear" w:color="auto" w:fill="auto"/>
            <w:noWrap/>
            <w:vAlign w:val="center"/>
            <w:hideMark/>
          </w:tcPr>
          <w:p w:rsidR="00B46642" w:rsidRDefault="00B46642" w:rsidP="008C3363">
            <w:pPr>
              <w:widowControl/>
              <w:jc w:val="center"/>
              <w:rPr>
                <w:rFonts w:ascii="仿宋_GB2312" w:eastAsia="仿宋_GB2312" w:hAnsi="仿宋" w:cs="Calibri"/>
                <w:kern w:val="0"/>
                <w:sz w:val="22"/>
                <w:szCs w:val="22"/>
              </w:rPr>
            </w:pPr>
            <w:r w:rsidRPr="00B83BDA">
              <w:rPr>
                <w:rFonts w:ascii="仿宋_GB2312" w:eastAsia="仿宋_GB2312" w:hAnsi="仿宋" w:cs="Calibri" w:hint="eastAsia"/>
                <w:kern w:val="0"/>
                <w:sz w:val="22"/>
                <w:szCs w:val="22"/>
              </w:rPr>
              <w:t>持有人</w:t>
            </w:r>
          </w:p>
          <w:p w:rsidR="00B46642" w:rsidRPr="00B83BDA" w:rsidRDefault="00B46642" w:rsidP="008C3363">
            <w:pPr>
              <w:widowControl/>
              <w:jc w:val="center"/>
              <w:rPr>
                <w:rFonts w:ascii="仿宋_GB2312" w:eastAsia="仿宋_GB2312" w:hAnsi="仿宋" w:cs="Calibri"/>
                <w:kern w:val="0"/>
                <w:sz w:val="22"/>
                <w:szCs w:val="22"/>
              </w:rPr>
            </w:pPr>
            <w:r w:rsidRPr="00B83BDA">
              <w:rPr>
                <w:rFonts w:ascii="仿宋_GB2312" w:eastAsia="仿宋_GB2312" w:hAnsi="仿宋" w:cs="Calibri" w:hint="eastAsia"/>
                <w:kern w:val="0"/>
                <w:sz w:val="22"/>
                <w:szCs w:val="22"/>
              </w:rPr>
              <w:t>数量</w:t>
            </w:r>
          </w:p>
        </w:tc>
        <w:tc>
          <w:tcPr>
            <w:tcW w:w="2683" w:type="dxa"/>
            <w:tcBorders>
              <w:top w:val="single" w:sz="4" w:space="0" w:color="auto"/>
              <w:left w:val="nil"/>
              <w:bottom w:val="single" w:sz="4" w:space="0" w:color="auto"/>
              <w:right w:val="single" w:sz="4" w:space="0" w:color="auto"/>
            </w:tcBorders>
            <w:shd w:val="clear" w:color="auto" w:fill="auto"/>
            <w:noWrap/>
            <w:vAlign w:val="center"/>
            <w:hideMark/>
          </w:tcPr>
          <w:p w:rsidR="00B46642" w:rsidRPr="00B83BDA" w:rsidRDefault="00B46642" w:rsidP="008C3363">
            <w:pPr>
              <w:widowControl/>
              <w:jc w:val="center"/>
              <w:rPr>
                <w:rFonts w:ascii="仿宋_GB2312" w:eastAsia="仿宋_GB2312" w:hAnsi="仿宋" w:cs="Calibri"/>
                <w:kern w:val="0"/>
                <w:sz w:val="22"/>
                <w:szCs w:val="22"/>
              </w:rPr>
            </w:pPr>
            <w:r w:rsidRPr="00B83BDA">
              <w:rPr>
                <w:rFonts w:ascii="仿宋_GB2312" w:eastAsia="仿宋_GB2312" w:hAnsi="仿宋" w:cs="Calibri" w:hint="eastAsia"/>
                <w:kern w:val="0"/>
                <w:sz w:val="22"/>
                <w:szCs w:val="22"/>
              </w:rPr>
              <w:t>处理方案</w:t>
            </w:r>
          </w:p>
        </w:tc>
      </w:tr>
      <w:tr w:rsidR="00B46642" w:rsidRPr="00B83BDA" w:rsidTr="00FA0CE8">
        <w:trPr>
          <w:trHeight w:val="312"/>
          <w:jc w:val="center"/>
        </w:trPr>
        <w:tc>
          <w:tcPr>
            <w:tcW w:w="1134" w:type="dxa"/>
            <w:tcBorders>
              <w:top w:val="nil"/>
              <w:left w:val="single" w:sz="4" w:space="0" w:color="auto"/>
              <w:bottom w:val="single" w:sz="4" w:space="0" w:color="auto"/>
              <w:right w:val="single" w:sz="4" w:space="0" w:color="auto"/>
            </w:tcBorders>
            <w:shd w:val="clear" w:color="auto" w:fill="auto"/>
            <w:noWrap/>
            <w:vAlign w:val="center"/>
          </w:tcPr>
          <w:p w:rsidR="00B46642" w:rsidRPr="00B83BDA" w:rsidRDefault="00B46642" w:rsidP="00300F40">
            <w:pPr>
              <w:widowControl/>
              <w:jc w:val="center"/>
              <w:rPr>
                <w:rFonts w:ascii="仿宋_GB2312" w:eastAsia="仿宋_GB2312" w:hAnsi="仿宋" w:cs="Calibri"/>
                <w:kern w:val="0"/>
                <w:sz w:val="22"/>
                <w:szCs w:val="22"/>
              </w:rPr>
            </w:pPr>
            <w:r w:rsidRPr="00E07C35">
              <w:rPr>
                <w:rFonts w:ascii="仿宋_GB2312" w:eastAsia="仿宋_GB2312" w:hAnsi="仿宋" w:cs="Calibri" w:hint="eastAsia"/>
                <w:kern w:val="0"/>
                <w:sz w:val="22"/>
              </w:rPr>
              <w:t>南方安养混合型</w:t>
            </w:r>
          </w:p>
        </w:tc>
        <w:tc>
          <w:tcPr>
            <w:tcW w:w="1322" w:type="dxa"/>
            <w:tcBorders>
              <w:top w:val="nil"/>
              <w:left w:val="nil"/>
              <w:bottom w:val="single" w:sz="4" w:space="0" w:color="auto"/>
              <w:right w:val="single" w:sz="4" w:space="0" w:color="auto"/>
            </w:tcBorders>
            <w:shd w:val="clear" w:color="auto" w:fill="auto"/>
            <w:noWrap/>
            <w:vAlign w:val="center"/>
          </w:tcPr>
          <w:p w:rsidR="00B46642" w:rsidRPr="00B83BDA" w:rsidRDefault="00B46642" w:rsidP="008C3363">
            <w:pPr>
              <w:widowControl/>
              <w:jc w:val="center"/>
              <w:rPr>
                <w:rFonts w:ascii="仿宋_GB2312" w:eastAsia="仿宋_GB2312" w:hAnsi="仿宋" w:cs="Calibri"/>
                <w:kern w:val="0"/>
                <w:sz w:val="22"/>
                <w:szCs w:val="22"/>
              </w:rPr>
            </w:pPr>
            <w:r w:rsidRPr="00E07C35">
              <w:rPr>
                <w:rFonts w:ascii="仿宋_GB2312" w:eastAsia="仿宋_GB2312" w:hAnsi="仿宋" w:cs="Calibri" w:hint="eastAsia"/>
                <w:kern w:val="0"/>
                <w:sz w:val="22"/>
              </w:rPr>
              <w:t>2018</w:t>
            </w:r>
            <w:r>
              <w:rPr>
                <w:rFonts w:ascii="仿宋_GB2312" w:eastAsia="仿宋_GB2312" w:hAnsi="仿宋" w:cs="Calibri" w:hint="eastAsia"/>
                <w:kern w:val="0"/>
                <w:sz w:val="22"/>
              </w:rPr>
              <w:t>-</w:t>
            </w:r>
            <w:r w:rsidRPr="00E07C35">
              <w:rPr>
                <w:rFonts w:ascii="仿宋_GB2312" w:eastAsia="仿宋_GB2312" w:hAnsi="仿宋" w:cs="Calibri" w:hint="eastAsia"/>
                <w:kern w:val="0"/>
                <w:sz w:val="22"/>
              </w:rPr>
              <w:t>02</w:t>
            </w:r>
            <w:r>
              <w:rPr>
                <w:rFonts w:ascii="仿宋_GB2312" w:eastAsia="仿宋_GB2312" w:hAnsi="仿宋" w:cs="Calibri" w:hint="eastAsia"/>
                <w:kern w:val="0"/>
                <w:sz w:val="22"/>
              </w:rPr>
              <w:t>-</w:t>
            </w:r>
            <w:r w:rsidRPr="00E07C35">
              <w:rPr>
                <w:rFonts w:ascii="仿宋_GB2312" w:eastAsia="仿宋_GB2312" w:hAnsi="仿宋" w:cs="Calibri" w:hint="eastAsia"/>
                <w:kern w:val="0"/>
                <w:sz w:val="22"/>
              </w:rPr>
              <w:t>06</w:t>
            </w:r>
          </w:p>
        </w:tc>
        <w:tc>
          <w:tcPr>
            <w:tcW w:w="1428" w:type="dxa"/>
            <w:tcBorders>
              <w:top w:val="nil"/>
              <w:left w:val="nil"/>
              <w:bottom w:val="single" w:sz="4" w:space="0" w:color="auto"/>
              <w:right w:val="single" w:sz="4" w:space="0" w:color="auto"/>
            </w:tcBorders>
            <w:shd w:val="clear" w:color="auto" w:fill="auto"/>
            <w:noWrap/>
            <w:vAlign w:val="center"/>
          </w:tcPr>
          <w:p w:rsidR="00B46642" w:rsidRPr="00B83BDA" w:rsidRDefault="00B46642" w:rsidP="008C3363">
            <w:pPr>
              <w:widowControl/>
              <w:jc w:val="center"/>
              <w:rPr>
                <w:rFonts w:ascii="仿宋_GB2312" w:eastAsia="仿宋_GB2312" w:hAnsi="仿宋" w:cs="Calibri"/>
                <w:kern w:val="0"/>
                <w:sz w:val="22"/>
                <w:szCs w:val="22"/>
              </w:rPr>
            </w:pPr>
            <w:proofErr w:type="gramStart"/>
            <w:r w:rsidRPr="00B83BDA">
              <w:rPr>
                <w:rFonts w:ascii="仿宋_GB2312" w:eastAsia="仿宋_GB2312" w:hAnsi="仿宋" w:cs="Calibri"/>
                <w:kern w:val="0"/>
                <w:sz w:val="22"/>
              </w:rPr>
              <w:t>偏债混合型</w:t>
            </w:r>
            <w:proofErr w:type="gramEnd"/>
          </w:p>
        </w:tc>
        <w:tc>
          <w:tcPr>
            <w:tcW w:w="1134" w:type="dxa"/>
            <w:tcBorders>
              <w:top w:val="nil"/>
              <w:left w:val="nil"/>
              <w:bottom w:val="single" w:sz="4" w:space="0" w:color="auto"/>
              <w:right w:val="single" w:sz="4" w:space="0" w:color="auto"/>
            </w:tcBorders>
            <w:shd w:val="clear" w:color="auto" w:fill="auto"/>
            <w:noWrap/>
            <w:vAlign w:val="center"/>
          </w:tcPr>
          <w:p w:rsidR="00B46642" w:rsidRPr="00B83BDA" w:rsidRDefault="00D63A92" w:rsidP="008C3363">
            <w:pPr>
              <w:widowControl/>
              <w:jc w:val="center"/>
              <w:rPr>
                <w:rFonts w:ascii="仿宋_GB2312" w:eastAsia="仿宋_GB2312" w:hAnsi="仿宋" w:cs="Calibri"/>
                <w:kern w:val="0"/>
                <w:sz w:val="22"/>
                <w:szCs w:val="22"/>
              </w:rPr>
            </w:pPr>
            <w:r w:rsidRPr="00D63A92">
              <w:rPr>
                <w:rFonts w:ascii="仿宋_GB2312" w:eastAsia="仿宋_GB2312" w:hAnsi="仿宋" w:cs="Calibri"/>
                <w:kern w:val="0"/>
                <w:sz w:val="22"/>
              </w:rPr>
              <w:t>3570.79</w:t>
            </w:r>
          </w:p>
        </w:tc>
        <w:tc>
          <w:tcPr>
            <w:tcW w:w="1418" w:type="dxa"/>
            <w:tcBorders>
              <w:top w:val="nil"/>
              <w:left w:val="nil"/>
              <w:bottom w:val="single" w:sz="4" w:space="0" w:color="auto"/>
              <w:right w:val="single" w:sz="4" w:space="0" w:color="auto"/>
            </w:tcBorders>
            <w:shd w:val="clear" w:color="auto" w:fill="auto"/>
            <w:noWrap/>
            <w:vAlign w:val="center"/>
          </w:tcPr>
          <w:p w:rsidR="00B46642" w:rsidRPr="00B83BDA" w:rsidRDefault="002849A9" w:rsidP="008C3363">
            <w:pPr>
              <w:widowControl/>
              <w:jc w:val="center"/>
              <w:rPr>
                <w:rFonts w:ascii="仿宋_GB2312" w:eastAsia="仿宋_GB2312" w:hAnsi="仿宋" w:cs="Calibri"/>
                <w:kern w:val="0"/>
                <w:sz w:val="22"/>
                <w:szCs w:val="22"/>
              </w:rPr>
            </w:pPr>
            <w:r w:rsidRPr="002849A9">
              <w:rPr>
                <w:rFonts w:ascii="仿宋_GB2312" w:eastAsia="仿宋_GB2312" w:hAnsi="仿宋" w:cs="Calibri"/>
                <w:kern w:val="0"/>
                <w:sz w:val="22"/>
              </w:rPr>
              <w:t>198</w:t>
            </w:r>
          </w:p>
        </w:tc>
        <w:tc>
          <w:tcPr>
            <w:tcW w:w="992" w:type="dxa"/>
            <w:tcBorders>
              <w:top w:val="nil"/>
              <w:left w:val="nil"/>
              <w:bottom w:val="single" w:sz="4" w:space="0" w:color="auto"/>
              <w:right w:val="single" w:sz="4" w:space="0" w:color="auto"/>
            </w:tcBorders>
            <w:shd w:val="clear" w:color="auto" w:fill="auto"/>
            <w:noWrap/>
            <w:vAlign w:val="center"/>
          </w:tcPr>
          <w:p w:rsidR="00B46642" w:rsidRPr="00B83BDA" w:rsidRDefault="0006766E" w:rsidP="008C3363">
            <w:pPr>
              <w:widowControl/>
              <w:jc w:val="center"/>
              <w:rPr>
                <w:rFonts w:ascii="仿宋_GB2312" w:eastAsia="仿宋_GB2312" w:hAnsi="仿宋" w:cs="Calibri"/>
                <w:kern w:val="0"/>
                <w:sz w:val="22"/>
                <w:szCs w:val="22"/>
              </w:rPr>
            </w:pPr>
            <w:r w:rsidRPr="0006766E">
              <w:rPr>
                <w:rFonts w:ascii="仿宋_GB2312" w:eastAsia="仿宋_GB2312" w:hAnsi="仿宋" w:cs="Calibri"/>
                <w:kern w:val="0"/>
                <w:sz w:val="22"/>
              </w:rPr>
              <w:t>1169</w:t>
            </w:r>
          </w:p>
        </w:tc>
        <w:tc>
          <w:tcPr>
            <w:tcW w:w="2683" w:type="dxa"/>
            <w:tcBorders>
              <w:top w:val="nil"/>
              <w:left w:val="nil"/>
              <w:bottom w:val="single" w:sz="4" w:space="0" w:color="auto"/>
              <w:right w:val="single" w:sz="4" w:space="0" w:color="auto"/>
            </w:tcBorders>
            <w:shd w:val="clear" w:color="auto" w:fill="auto"/>
            <w:noWrap/>
            <w:vAlign w:val="center"/>
          </w:tcPr>
          <w:p w:rsidR="00B46642" w:rsidRPr="00B83BDA" w:rsidRDefault="004100E5" w:rsidP="0054377E">
            <w:pPr>
              <w:widowControl/>
              <w:rPr>
                <w:rFonts w:ascii="仿宋_GB2312" w:eastAsia="仿宋_GB2312" w:hAnsi="仿宋" w:cs="Calibri"/>
                <w:kern w:val="0"/>
                <w:sz w:val="22"/>
                <w:szCs w:val="22"/>
              </w:rPr>
            </w:pPr>
            <w:r w:rsidRPr="004100E5">
              <w:rPr>
                <w:rFonts w:ascii="仿宋_GB2312" w:eastAsia="仿宋_GB2312" w:hAnsi="仿宋" w:cs="Calibri" w:hint="eastAsia"/>
                <w:kern w:val="0"/>
                <w:sz w:val="22"/>
              </w:rPr>
              <w:t>拟召集基金份额持有人大会审议该基金清盘事宜。</w:t>
            </w:r>
          </w:p>
        </w:tc>
      </w:tr>
    </w:tbl>
    <w:p w:rsidR="00F620F3" w:rsidRPr="00B46642" w:rsidRDefault="00B46642" w:rsidP="0075476B">
      <w:pPr>
        <w:widowControl/>
        <w:spacing w:beforeLines="50" w:before="156"/>
        <w:jc w:val="left"/>
        <w:rPr>
          <w:rFonts w:ascii="仿宋_GB2312" w:eastAsia="仿宋_GB2312" w:hAnsi="仿宋_GB2312"/>
          <w:b/>
          <w:sz w:val="24"/>
        </w:rPr>
      </w:pPr>
      <w:r w:rsidRPr="00527C2B">
        <w:rPr>
          <w:rFonts w:ascii="仿宋_GB2312" w:eastAsia="仿宋_GB2312" w:hAnsi="仿宋_GB2312" w:hint="eastAsia"/>
          <w:sz w:val="22"/>
        </w:rPr>
        <w:t>注：</w:t>
      </w:r>
      <w:r w:rsidRPr="00A1260B">
        <w:rPr>
          <w:rFonts w:ascii="仿宋_GB2312" w:eastAsia="仿宋_GB2312" w:hAnsi="仿宋_GB2312" w:hint="eastAsia"/>
          <w:sz w:val="22"/>
        </w:rPr>
        <w:t>数据来源南方基金</w:t>
      </w:r>
      <w:r>
        <w:rPr>
          <w:rFonts w:ascii="仿宋_GB2312" w:eastAsia="仿宋_GB2312" w:hAnsi="仿宋_GB2312" w:hint="eastAsia"/>
          <w:sz w:val="22"/>
        </w:rPr>
        <w:t>。</w:t>
      </w:r>
    </w:p>
    <w:sectPr w:rsidR="00F620F3" w:rsidRPr="00B46642">
      <w:footerReference w:type="default" r:id="rId7"/>
      <w:pgSz w:w="11906" w:h="16838"/>
      <w:pgMar w:top="1440" w:right="1800" w:bottom="1440" w:left="1800" w:header="851" w:footer="992" w:gutter="0"/>
      <w:cols w:space="720"/>
      <w:docGrid w:type="lines" w:linePitch="31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7759D4" w16cex:dateUtc="2023-08-04T03:04:00Z"/>
  <w16cex:commentExtensible w16cex:durableId="28775B6C" w16cex:dateUtc="2023-08-04T03:11:00Z"/>
  <w16cex:commentExtensible w16cex:durableId="28775DAB" w16cex:dateUtc="2023-08-04T0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3AC41C3" w16cid:durableId="287759D4"/>
  <w16cid:commentId w16cid:paraId="29710BB3" w16cid:durableId="27D18374"/>
  <w16cid:commentId w16cid:paraId="2E9AC797" w16cid:durableId="28775B6C"/>
  <w16cid:commentId w16cid:paraId="476B0BC6" w16cid:durableId="28775DAB"/>
  <w16cid:commentId w16cid:paraId="6C9BD1EA" w16cid:durableId="27D18375"/>
  <w16cid:commentId w16cid:paraId="4018635A" w16cid:durableId="27D1837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1970" w:rsidRDefault="00101970">
      <w:r>
        <w:separator/>
      </w:r>
    </w:p>
  </w:endnote>
  <w:endnote w:type="continuationSeparator" w:id="0">
    <w:p w:rsidR="00101970" w:rsidRDefault="00101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1BEB" w:rsidRDefault="00E21BEB">
    <w:pPr>
      <w:pStyle w:val="10"/>
      <w:framePr w:h="0" w:wrap="around" w:vAnchor="text" w:hAnchor="margin" w:xAlign="center" w:yAlign="top"/>
      <w:pBdr>
        <w:between w:val="none" w:sz="50" w:space="0" w:color="auto"/>
      </w:pBdr>
    </w:pPr>
    <w:r>
      <w:fldChar w:fldCharType="begin"/>
    </w:r>
    <w:r>
      <w:instrText xml:space="preserve"> PAGE  </w:instrText>
    </w:r>
    <w:r>
      <w:fldChar w:fldCharType="separate"/>
    </w:r>
    <w:r w:rsidR="00D4305A">
      <w:rPr>
        <w:noProof/>
      </w:rPr>
      <w:t>8</w:t>
    </w:r>
    <w:r>
      <w:fldChar w:fldCharType="end"/>
    </w:r>
  </w:p>
  <w:p w:rsidR="00E21BEB" w:rsidRDefault="00E21BEB">
    <w:pPr>
      <w:pStyle w:val="1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1970" w:rsidRDefault="00101970">
      <w:r>
        <w:separator/>
      </w:r>
    </w:p>
  </w:footnote>
  <w:footnote w:type="continuationSeparator" w:id="0">
    <w:p w:rsidR="00101970" w:rsidRDefault="001019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3A4085"/>
    <w:multiLevelType w:val="hybridMultilevel"/>
    <w:tmpl w:val="B9F6ACE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displayHorizontalDrawingGridEvery w:val="0"/>
  <w:displayVertic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1CA"/>
    <w:rsid w:val="0000329B"/>
    <w:rsid w:val="000040E2"/>
    <w:rsid w:val="00012331"/>
    <w:rsid w:val="00014D2F"/>
    <w:rsid w:val="00016951"/>
    <w:rsid w:val="00017D8F"/>
    <w:rsid w:val="000212D9"/>
    <w:rsid w:val="00021324"/>
    <w:rsid w:val="0002559C"/>
    <w:rsid w:val="00027273"/>
    <w:rsid w:val="00031B2E"/>
    <w:rsid w:val="00034D4D"/>
    <w:rsid w:val="000378D6"/>
    <w:rsid w:val="0004019F"/>
    <w:rsid w:val="00042BCD"/>
    <w:rsid w:val="000436CB"/>
    <w:rsid w:val="0004517A"/>
    <w:rsid w:val="00045F9C"/>
    <w:rsid w:val="0004680A"/>
    <w:rsid w:val="0004750D"/>
    <w:rsid w:val="00050B72"/>
    <w:rsid w:val="00051052"/>
    <w:rsid w:val="00051724"/>
    <w:rsid w:val="00061E36"/>
    <w:rsid w:val="00063D2E"/>
    <w:rsid w:val="00064A68"/>
    <w:rsid w:val="000669AE"/>
    <w:rsid w:val="0006766E"/>
    <w:rsid w:val="00070B11"/>
    <w:rsid w:val="000764C6"/>
    <w:rsid w:val="00082642"/>
    <w:rsid w:val="00083759"/>
    <w:rsid w:val="0008400F"/>
    <w:rsid w:val="00085A7B"/>
    <w:rsid w:val="00091346"/>
    <w:rsid w:val="00092144"/>
    <w:rsid w:val="0009342F"/>
    <w:rsid w:val="00093BF7"/>
    <w:rsid w:val="00093D39"/>
    <w:rsid w:val="00095636"/>
    <w:rsid w:val="00096EBF"/>
    <w:rsid w:val="00097A75"/>
    <w:rsid w:val="00097F5F"/>
    <w:rsid w:val="000A161E"/>
    <w:rsid w:val="000A4F0D"/>
    <w:rsid w:val="000A696D"/>
    <w:rsid w:val="000B0565"/>
    <w:rsid w:val="000B1BE6"/>
    <w:rsid w:val="000B2169"/>
    <w:rsid w:val="000B3DCA"/>
    <w:rsid w:val="000B3FCF"/>
    <w:rsid w:val="000B5ED6"/>
    <w:rsid w:val="000B7249"/>
    <w:rsid w:val="000C2C9D"/>
    <w:rsid w:val="000C35AB"/>
    <w:rsid w:val="000C51A3"/>
    <w:rsid w:val="000D2AA4"/>
    <w:rsid w:val="000D504C"/>
    <w:rsid w:val="000D53BE"/>
    <w:rsid w:val="000D77A3"/>
    <w:rsid w:val="000E144E"/>
    <w:rsid w:val="000E187D"/>
    <w:rsid w:val="000E40B8"/>
    <w:rsid w:val="000E4AEE"/>
    <w:rsid w:val="000E630A"/>
    <w:rsid w:val="000F0080"/>
    <w:rsid w:val="000F2457"/>
    <w:rsid w:val="00101970"/>
    <w:rsid w:val="00102A4D"/>
    <w:rsid w:val="0010566E"/>
    <w:rsid w:val="001072BE"/>
    <w:rsid w:val="00110350"/>
    <w:rsid w:val="00115E0E"/>
    <w:rsid w:val="00117478"/>
    <w:rsid w:val="0012143E"/>
    <w:rsid w:val="0012178B"/>
    <w:rsid w:val="0012265F"/>
    <w:rsid w:val="00125343"/>
    <w:rsid w:val="00125B66"/>
    <w:rsid w:val="001324B1"/>
    <w:rsid w:val="00134450"/>
    <w:rsid w:val="001353E5"/>
    <w:rsid w:val="0014159B"/>
    <w:rsid w:val="00147610"/>
    <w:rsid w:val="001514C2"/>
    <w:rsid w:val="00154FB5"/>
    <w:rsid w:val="00161B65"/>
    <w:rsid w:val="0016477E"/>
    <w:rsid w:val="00166722"/>
    <w:rsid w:val="001704DB"/>
    <w:rsid w:val="00170C85"/>
    <w:rsid w:val="001712FA"/>
    <w:rsid w:val="00172A27"/>
    <w:rsid w:val="00173EB5"/>
    <w:rsid w:val="00173F66"/>
    <w:rsid w:val="00176677"/>
    <w:rsid w:val="001768DA"/>
    <w:rsid w:val="00176BA4"/>
    <w:rsid w:val="00180EAC"/>
    <w:rsid w:val="00183C2A"/>
    <w:rsid w:val="0018424D"/>
    <w:rsid w:val="0019121D"/>
    <w:rsid w:val="001916D1"/>
    <w:rsid w:val="001A1DEF"/>
    <w:rsid w:val="001A2E1B"/>
    <w:rsid w:val="001A568F"/>
    <w:rsid w:val="001A651A"/>
    <w:rsid w:val="001B2570"/>
    <w:rsid w:val="001B596A"/>
    <w:rsid w:val="001C2E47"/>
    <w:rsid w:val="001C6758"/>
    <w:rsid w:val="001C72D9"/>
    <w:rsid w:val="001D03B6"/>
    <w:rsid w:val="001D3589"/>
    <w:rsid w:val="001D5DBD"/>
    <w:rsid w:val="001D719B"/>
    <w:rsid w:val="001E2241"/>
    <w:rsid w:val="001E3918"/>
    <w:rsid w:val="001E41F3"/>
    <w:rsid w:val="001F0C47"/>
    <w:rsid w:val="0020280A"/>
    <w:rsid w:val="002044DF"/>
    <w:rsid w:val="00205775"/>
    <w:rsid w:val="002106DE"/>
    <w:rsid w:val="00211741"/>
    <w:rsid w:val="00211B51"/>
    <w:rsid w:val="00213C4A"/>
    <w:rsid w:val="00213C6F"/>
    <w:rsid w:val="00214CFF"/>
    <w:rsid w:val="00221D67"/>
    <w:rsid w:val="00224C11"/>
    <w:rsid w:val="00230CED"/>
    <w:rsid w:val="0023186E"/>
    <w:rsid w:val="0023236C"/>
    <w:rsid w:val="00232EDC"/>
    <w:rsid w:val="0023370A"/>
    <w:rsid w:val="002342A0"/>
    <w:rsid w:val="00235708"/>
    <w:rsid w:val="0023702A"/>
    <w:rsid w:val="002404B3"/>
    <w:rsid w:val="002409BA"/>
    <w:rsid w:val="002410F0"/>
    <w:rsid w:val="00242796"/>
    <w:rsid w:val="0024452A"/>
    <w:rsid w:val="00245E89"/>
    <w:rsid w:val="00246BA0"/>
    <w:rsid w:val="00247F2C"/>
    <w:rsid w:val="00250878"/>
    <w:rsid w:val="002529F7"/>
    <w:rsid w:val="00253415"/>
    <w:rsid w:val="00254854"/>
    <w:rsid w:val="00254C96"/>
    <w:rsid w:val="002579AE"/>
    <w:rsid w:val="00261255"/>
    <w:rsid w:val="00261937"/>
    <w:rsid w:val="002645A0"/>
    <w:rsid w:val="00267B0D"/>
    <w:rsid w:val="002729D9"/>
    <w:rsid w:val="00276AF2"/>
    <w:rsid w:val="00281698"/>
    <w:rsid w:val="00284509"/>
    <w:rsid w:val="002849A9"/>
    <w:rsid w:val="00285B54"/>
    <w:rsid w:val="002860B6"/>
    <w:rsid w:val="002917E6"/>
    <w:rsid w:val="00291E10"/>
    <w:rsid w:val="002927FB"/>
    <w:rsid w:val="00294444"/>
    <w:rsid w:val="002A3DA7"/>
    <w:rsid w:val="002A49F6"/>
    <w:rsid w:val="002A4F8B"/>
    <w:rsid w:val="002A4FA9"/>
    <w:rsid w:val="002A6F76"/>
    <w:rsid w:val="002A77F9"/>
    <w:rsid w:val="002B197E"/>
    <w:rsid w:val="002B562C"/>
    <w:rsid w:val="002B647A"/>
    <w:rsid w:val="002C654D"/>
    <w:rsid w:val="002D1578"/>
    <w:rsid w:val="002D16F4"/>
    <w:rsid w:val="002D3BA8"/>
    <w:rsid w:val="002D456E"/>
    <w:rsid w:val="002D7CFA"/>
    <w:rsid w:val="002E09E7"/>
    <w:rsid w:val="002E54CE"/>
    <w:rsid w:val="002F002D"/>
    <w:rsid w:val="002F335D"/>
    <w:rsid w:val="002F3B1E"/>
    <w:rsid w:val="002F4460"/>
    <w:rsid w:val="002F45A8"/>
    <w:rsid w:val="002F4AA0"/>
    <w:rsid w:val="00300AD8"/>
    <w:rsid w:val="00300B40"/>
    <w:rsid w:val="00300F40"/>
    <w:rsid w:val="003014DA"/>
    <w:rsid w:val="003017F0"/>
    <w:rsid w:val="00302005"/>
    <w:rsid w:val="003022A0"/>
    <w:rsid w:val="00305808"/>
    <w:rsid w:val="003071F2"/>
    <w:rsid w:val="00307E08"/>
    <w:rsid w:val="00310043"/>
    <w:rsid w:val="003131E0"/>
    <w:rsid w:val="00321864"/>
    <w:rsid w:val="0032565A"/>
    <w:rsid w:val="00332E7D"/>
    <w:rsid w:val="00337113"/>
    <w:rsid w:val="003415FC"/>
    <w:rsid w:val="00342CE8"/>
    <w:rsid w:val="00350620"/>
    <w:rsid w:val="00351C4F"/>
    <w:rsid w:val="003545E9"/>
    <w:rsid w:val="0036246C"/>
    <w:rsid w:val="00364A85"/>
    <w:rsid w:val="00370839"/>
    <w:rsid w:val="00375006"/>
    <w:rsid w:val="00382004"/>
    <w:rsid w:val="003825BB"/>
    <w:rsid w:val="003834A6"/>
    <w:rsid w:val="0038512C"/>
    <w:rsid w:val="0038545D"/>
    <w:rsid w:val="00385F57"/>
    <w:rsid w:val="00386EC2"/>
    <w:rsid w:val="0039328F"/>
    <w:rsid w:val="003936F3"/>
    <w:rsid w:val="00396D21"/>
    <w:rsid w:val="003A01FD"/>
    <w:rsid w:val="003A08CE"/>
    <w:rsid w:val="003A1B81"/>
    <w:rsid w:val="003A4DFA"/>
    <w:rsid w:val="003A76F3"/>
    <w:rsid w:val="003B0166"/>
    <w:rsid w:val="003B04D3"/>
    <w:rsid w:val="003B0DDC"/>
    <w:rsid w:val="003B222F"/>
    <w:rsid w:val="003B2637"/>
    <w:rsid w:val="003B34E2"/>
    <w:rsid w:val="003C17BB"/>
    <w:rsid w:val="003C22C5"/>
    <w:rsid w:val="003D0FD5"/>
    <w:rsid w:val="003D4E51"/>
    <w:rsid w:val="003D52DB"/>
    <w:rsid w:val="003D54B6"/>
    <w:rsid w:val="003E0F76"/>
    <w:rsid w:val="003F328B"/>
    <w:rsid w:val="003F390D"/>
    <w:rsid w:val="00400452"/>
    <w:rsid w:val="004047BB"/>
    <w:rsid w:val="00407936"/>
    <w:rsid w:val="004100E5"/>
    <w:rsid w:val="00410F0B"/>
    <w:rsid w:val="00412F4F"/>
    <w:rsid w:val="0042084C"/>
    <w:rsid w:val="004262F6"/>
    <w:rsid w:val="00426358"/>
    <w:rsid w:val="00427F8B"/>
    <w:rsid w:val="00431123"/>
    <w:rsid w:val="004313C1"/>
    <w:rsid w:val="00434CD1"/>
    <w:rsid w:val="004361E3"/>
    <w:rsid w:val="00443A59"/>
    <w:rsid w:val="00443B75"/>
    <w:rsid w:val="004521EC"/>
    <w:rsid w:val="004525D0"/>
    <w:rsid w:val="00457E19"/>
    <w:rsid w:val="0046101A"/>
    <w:rsid w:val="00462BD5"/>
    <w:rsid w:val="004644BE"/>
    <w:rsid w:val="004651F7"/>
    <w:rsid w:val="004719D3"/>
    <w:rsid w:val="0047204A"/>
    <w:rsid w:val="00472881"/>
    <w:rsid w:val="00474D0E"/>
    <w:rsid w:val="00477A45"/>
    <w:rsid w:val="004801FA"/>
    <w:rsid w:val="004816A6"/>
    <w:rsid w:val="00483997"/>
    <w:rsid w:val="00483C53"/>
    <w:rsid w:val="00492FD0"/>
    <w:rsid w:val="00497C4D"/>
    <w:rsid w:val="004A2855"/>
    <w:rsid w:val="004A36DC"/>
    <w:rsid w:val="004B1146"/>
    <w:rsid w:val="004B264B"/>
    <w:rsid w:val="004B42E3"/>
    <w:rsid w:val="004B5BC4"/>
    <w:rsid w:val="004B6C5E"/>
    <w:rsid w:val="004C1B72"/>
    <w:rsid w:val="004C42FF"/>
    <w:rsid w:val="004C44B3"/>
    <w:rsid w:val="004C4834"/>
    <w:rsid w:val="004C4BB3"/>
    <w:rsid w:val="004C59C7"/>
    <w:rsid w:val="004C623D"/>
    <w:rsid w:val="004C6BF5"/>
    <w:rsid w:val="004D42EC"/>
    <w:rsid w:val="004D4B33"/>
    <w:rsid w:val="004E4DF2"/>
    <w:rsid w:val="004E62BB"/>
    <w:rsid w:val="004E7042"/>
    <w:rsid w:val="004E7F6E"/>
    <w:rsid w:val="004F6A7D"/>
    <w:rsid w:val="0050393E"/>
    <w:rsid w:val="00503E20"/>
    <w:rsid w:val="0050701C"/>
    <w:rsid w:val="005078B8"/>
    <w:rsid w:val="0051079B"/>
    <w:rsid w:val="00510D49"/>
    <w:rsid w:val="0051370D"/>
    <w:rsid w:val="005214DF"/>
    <w:rsid w:val="00521EDA"/>
    <w:rsid w:val="00524F6B"/>
    <w:rsid w:val="00532087"/>
    <w:rsid w:val="005325CF"/>
    <w:rsid w:val="00534784"/>
    <w:rsid w:val="00537463"/>
    <w:rsid w:val="005409E1"/>
    <w:rsid w:val="00541170"/>
    <w:rsid w:val="0054377E"/>
    <w:rsid w:val="00550AA1"/>
    <w:rsid w:val="00551881"/>
    <w:rsid w:val="00556CAD"/>
    <w:rsid w:val="00561CC7"/>
    <w:rsid w:val="00563CDB"/>
    <w:rsid w:val="00565E98"/>
    <w:rsid w:val="005670D5"/>
    <w:rsid w:val="005674DF"/>
    <w:rsid w:val="00572E6F"/>
    <w:rsid w:val="005752B8"/>
    <w:rsid w:val="005756A4"/>
    <w:rsid w:val="00576185"/>
    <w:rsid w:val="00584D37"/>
    <w:rsid w:val="00585AE8"/>
    <w:rsid w:val="00593C02"/>
    <w:rsid w:val="00596C78"/>
    <w:rsid w:val="00597C84"/>
    <w:rsid w:val="005A0405"/>
    <w:rsid w:val="005A0D1E"/>
    <w:rsid w:val="005A1AF2"/>
    <w:rsid w:val="005A676D"/>
    <w:rsid w:val="005B1ECC"/>
    <w:rsid w:val="005B4F32"/>
    <w:rsid w:val="005B6720"/>
    <w:rsid w:val="005C068C"/>
    <w:rsid w:val="005C2BA3"/>
    <w:rsid w:val="005C350D"/>
    <w:rsid w:val="005C4547"/>
    <w:rsid w:val="005C4FBB"/>
    <w:rsid w:val="005C695B"/>
    <w:rsid w:val="005C6BF6"/>
    <w:rsid w:val="005D2419"/>
    <w:rsid w:val="005D30C9"/>
    <w:rsid w:val="005D3DB3"/>
    <w:rsid w:val="005E03F1"/>
    <w:rsid w:val="005E2448"/>
    <w:rsid w:val="005E265C"/>
    <w:rsid w:val="005E71FD"/>
    <w:rsid w:val="005E73B1"/>
    <w:rsid w:val="005F079D"/>
    <w:rsid w:val="005F13B1"/>
    <w:rsid w:val="005F1982"/>
    <w:rsid w:val="0060001D"/>
    <w:rsid w:val="00600C10"/>
    <w:rsid w:val="00603FB5"/>
    <w:rsid w:val="00604525"/>
    <w:rsid w:val="00606917"/>
    <w:rsid w:val="00607650"/>
    <w:rsid w:val="006166D0"/>
    <w:rsid w:val="00617D02"/>
    <w:rsid w:val="00621629"/>
    <w:rsid w:val="006218F2"/>
    <w:rsid w:val="006254E9"/>
    <w:rsid w:val="00630EDA"/>
    <w:rsid w:val="00631770"/>
    <w:rsid w:val="00636A0A"/>
    <w:rsid w:val="00645B80"/>
    <w:rsid w:val="00651D38"/>
    <w:rsid w:val="00653137"/>
    <w:rsid w:val="006545B6"/>
    <w:rsid w:val="00661DDE"/>
    <w:rsid w:val="00665B2E"/>
    <w:rsid w:val="0066711B"/>
    <w:rsid w:val="0066780F"/>
    <w:rsid w:val="0067377A"/>
    <w:rsid w:val="00674521"/>
    <w:rsid w:val="006771A6"/>
    <w:rsid w:val="006856CD"/>
    <w:rsid w:val="006922B6"/>
    <w:rsid w:val="006928E1"/>
    <w:rsid w:val="00692DCB"/>
    <w:rsid w:val="006956DA"/>
    <w:rsid w:val="006965BC"/>
    <w:rsid w:val="0069670B"/>
    <w:rsid w:val="00696FCE"/>
    <w:rsid w:val="006A0C6E"/>
    <w:rsid w:val="006A29BD"/>
    <w:rsid w:val="006A2A87"/>
    <w:rsid w:val="006A491A"/>
    <w:rsid w:val="006A6F42"/>
    <w:rsid w:val="006B1A66"/>
    <w:rsid w:val="006B6603"/>
    <w:rsid w:val="006C1475"/>
    <w:rsid w:val="006C1FC3"/>
    <w:rsid w:val="006C41E2"/>
    <w:rsid w:val="006C5012"/>
    <w:rsid w:val="006C7F9B"/>
    <w:rsid w:val="006D1A5D"/>
    <w:rsid w:val="006D310E"/>
    <w:rsid w:val="006E22AE"/>
    <w:rsid w:val="006F4763"/>
    <w:rsid w:val="006F52E2"/>
    <w:rsid w:val="006F557E"/>
    <w:rsid w:val="006F6FB8"/>
    <w:rsid w:val="007006AD"/>
    <w:rsid w:val="007021D0"/>
    <w:rsid w:val="00702A44"/>
    <w:rsid w:val="00704EE6"/>
    <w:rsid w:val="007126D6"/>
    <w:rsid w:val="007130E7"/>
    <w:rsid w:val="0071412A"/>
    <w:rsid w:val="007142CD"/>
    <w:rsid w:val="00716547"/>
    <w:rsid w:val="00722251"/>
    <w:rsid w:val="0072372F"/>
    <w:rsid w:val="00724FC8"/>
    <w:rsid w:val="00725844"/>
    <w:rsid w:val="0072616C"/>
    <w:rsid w:val="00734677"/>
    <w:rsid w:val="00740CE1"/>
    <w:rsid w:val="007414A6"/>
    <w:rsid w:val="00742828"/>
    <w:rsid w:val="00743E24"/>
    <w:rsid w:val="00750CAE"/>
    <w:rsid w:val="00751B3B"/>
    <w:rsid w:val="00752195"/>
    <w:rsid w:val="0075476B"/>
    <w:rsid w:val="00767DE6"/>
    <w:rsid w:val="0077203F"/>
    <w:rsid w:val="00775EE1"/>
    <w:rsid w:val="00776C89"/>
    <w:rsid w:val="00780325"/>
    <w:rsid w:val="00780BB4"/>
    <w:rsid w:val="00781AAD"/>
    <w:rsid w:val="007861AC"/>
    <w:rsid w:val="007900BE"/>
    <w:rsid w:val="007924CD"/>
    <w:rsid w:val="00792F97"/>
    <w:rsid w:val="00793816"/>
    <w:rsid w:val="007A08F2"/>
    <w:rsid w:val="007A1333"/>
    <w:rsid w:val="007A1DF9"/>
    <w:rsid w:val="007A5058"/>
    <w:rsid w:val="007A7BBE"/>
    <w:rsid w:val="007A7E62"/>
    <w:rsid w:val="007B1236"/>
    <w:rsid w:val="007B27BA"/>
    <w:rsid w:val="007B3F92"/>
    <w:rsid w:val="007C058E"/>
    <w:rsid w:val="007C2159"/>
    <w:rsid w:val="007C2344"/>
    <w:rsid w:val="007C2373"/>
    <w:rsid w:val="007C4336"/>
    <w:rsid w:val="007D060B"/>
    <w:rsid w:val="007D458C"/>
    <w:rsid w:val="007D56E0"/>
    <w:rsid w:val="007E3649"/>
    <w:rsid w:val="007E3805"/>
    <w:rsid w:val="007F0ADB"/>
    <w:rsid w:val="008015F0"/>
    <w:rsid w:val="008021F2"/>
    <w:rsid w:val="008031A2"/>
    <w:rsid w:val="00804BE0"/>
    <w:rsid w:val="00804E20"/>
    <w:rsid w:val="008074C9"/>
    <w:rsid w:val="0081335E"/>
    <w:rsid w:val="008173A9"/>
    <w:rsid w:val="0082092A"/>
    <w:rsid w:val="008210DF"/>
    <w:rsid w:val="00823EE4"/>
    <w:rsid w:val="00824EA0"/>
    <w:rsid w:val="00827634"/>
    <w:rsid w:val="00832E1D"/>
    <w:rsid w:val="00834C7B"/>
    <w:rsid w:val="00834E22"/>
    <w:rsid w:val="008441C6"/>
    <w:rsid w:val="0084536F"/>
    <w:rsid w:val="00850A23"/>
    <w:rsid w:val="0085566B"/>
    <w:rsid w:val="00861929"/>
    <w:rsid w:val="00862A8C"/>
    <w:rsid w:val="00864B01"/>
    <w:rsid w:val="008674C0"/>
    <w:rsid w:val="00870823"/>
    <w:rsid w:val="00880C94"/>
    <w:rsid w:val="00882C0A"/>
    <w:rsid w:val="00884265"/>
    <w:rsid w:val="008848AE"/>
    <w:rsid w:val="00884B73"/>
    <w:rsid w:val="008870F7"/>
    <w:rsid w:val="00887C42"/>
    <w:rsid w:val="00892B25"/>
    <w:rsid w:val="00897C24"/>
    <w:rsid w:val="008A15B9"/>
    <w:rsid w:val="008A56C4"/>
    <w:rsid w:val="008B209B"/>
    <w:rsid w:val="008B2F28"/>
    <w:rsid w:val="008B4F33"/>
    <w:rsid w:val="008C64C6"/>
    <w:rsid w:val="008C6B6C"/>
    <w:rsid w:val="008C7452"/>
    <w:rsid w:val="008D065E"/>
    <w:rsid w:val="008D2678"/>
    <w:rsid w:val="008D3CCD"/>
    <w:rsid w:val="008E096E"/>
    <w:rsid w:val="008E25F0"/>
    <w:rsid w:val="008E726D"/>
    <w:rsid w:val="008F2A83"/>
    <w:rsid w:val="008F2AE7"/>
    <w:rsid w:val="008F5391"/>
    <w:rsid w:val="008F7E9C"/>
    <w:rsid w:val="00903FC7"/>
    <w:rsid w:val="00913BDE"/>
    <w:rsid w:val="00914EFF"/>
    <w:rsid w:val="00915FA8"/>
    <w:rsid w:val="009172F4"/>
    <w:rsid w:val="00920F38"/>
    <w:rsid w:val="0092115D"/>
    <w:rsid w:val="00921F02"/>
    <w:rsid w:val="0093090F"/>
    <w:rsid w:val="00930A00"/>
    <w:rsid w:val="00930A81"/>
    <w:rsid w:val="00930DEB"/>
    <w:rsid w:val="00930F42"/>
    <w:rsid w:val="00933331"/>
    <w:rsid w:val="00935852"/>
    <w:rsid w:val="0093729D"/>
    <w:rsid w:val="00940F4A"/>
    <w:rsid w:val="009452FC"/>
    <w:rsid w:val="009457EA"/>
    <w:rsid w:val="00952BA1"/>
    <w:rsid w:val="00962B08"/>
    <w:rsid w:val="009676AB"/>
    <w:rsid w:val="00970DA8"/>
    <w:rsid w:val="009720D8"/>
    <w:rsid w:val="00972A44"/>
    <w:rsid w:val="00972FA3"/>
    <w:rsid w:val="0097592E"/>
    <w:rsid w:val="009774A1"/>
    <w:rsid w:val="0098017E"/>
    <w:rsid w:val="00980A4E"/>
    <w:rsid w:val="0098779E"/>
    <w:rsid w:val="009912CE"/>
    <w:rsid w:val="00993078"/>
    <w:rsid w:val="0099749E"/>
    <w:rsid w:val="009A0802"/>
    <w:rsid w:val="009A1629"/>
    <w:rsid w:val="009B021D"/>
    <w:rsid w:val="009B1378"/>
    <w:rsid w:val="009B2602"/>
    <w:rsid w:val="009B42AB"/>
    <w:rsid w:val="009B5DA2"/>
    <w:rsid w:val="009C2F04"/>
    <w:rsid w:val="009C3BB5"/>
    <w:rsid w:val="009C5254"/>
    <w:rsid w:val="009C630C"/>
    <w:rsid w:val="009C7AA1"/>
    <w:rsid w:val="009D26C9"/>
    <w:rsid w:val="009D3E65"/>
    <w:rsid w:val="009D4BE0"/>
    <w:rsid w:val="009D6BF7"/>
    <w:rsid w:val="009D7199"/>
    <w:rsid w:val="009D7B4F"/>
    <w:rsid w:val="009D7E0A"/>
    <w:rsid w:val="009E1012"/>
    <w:rsid w:val="009E398B"/>
    <w:rsid w:val="009F0996"/>
    <w:rsid w:val="009F3136"/>
    <w:rsid w:val="00A002E0"/>
    <w:rsid w:val="00A077B5"/>
    <w:rsid w:val="00A14252"/>
    <w:rsid w:val="00A14478"/>
    <w:rsid w:val="00A2065D"/>
    <w:rsid w:val="00A2100E"/>
    <w:rsid w:val="00A2585B"/>
    <w:rsid w:val="00A27729"/>
    <w:rsid w:val="00A302CD"/>
    <w:rsid w:val="00A31511"/>
    <w:rsid w:val="00A3215D"/>
    <w:rsid w:val="00A417E4"/>
    <w:rsid w:val="00A4420D"/>
    <w:rsid w:val="00A44A58"/>
    <w:rsid w:val="00A46AC2"/>
    <w:rsid w:val="00A46AEE"/>
    <w:rsid w:val="00A51296"/>
    <w:rsid w:val="00A51B81"/>
    <w:rsid w:val="00A544C8"/>
    <w:rsid w:val="00A54815"/>
    <w:rsid w:val="00A560C9"/>
    <w:rsid w:val="00A56707"/>
    <w:rsid w:val="00A56FBA"/>
    <w:rsid w:val="00A57E40"/>
    <w:rsid w:val="00A61D06"/>
    <w:rsid w:val="00A63754"/>
    <w:rsid w:val="00A63DEC"/>
    <w:rsid w:val="00A67E2D"/>
    <w:rsid w:val="00A71BA5"/>
    <w:rsid w:val="00A73489"/>
    <w:rsid w:val="00A84503"/>
    <w:rsid w:val="00A8664B"/>
    <w:rsid w:val="00A90E86"/>
    <w:rsid w:val="00A91C41"/>
    <w:rsid w:val="00A926B0"/>
    <w:rsid w:val="00A9680C"/>
    <w:rsid w:val="00A9777A"/>
    <w:rsid w:val="00AA0606"/>
    <w:rsid w:val="00AA2B34"/>
    <w:rsid w:val="00AA2EC3"/>
    <w:rsid w:val="00AA5CEC"/>
    <w:rsid w:val="00AA602B"/>
    <w:rsid w:val="00AA69C1"/>
    <w:rsid w:val="00AA7F84"/>
    <w:rsid w:val="00AB4C4E"/>
    <w:rsid w:val="00AB7540"/>
    <w:rsid w:val="00AC0924"/>
    <w:rsid w:val="00AC1133"/>
    <w:rsid w:val="00AC2301"/>
    <w:rsid w:val="00AC4EA1"/>
    <w:rsid w:val="00AD2F88"/>
    <w:rsid w:val="00AD7F61"/>
    <w:rsid w:val="00AE062B"/>
    <w:rsid w:val="00AE177B"/>
    <w:rsid w:val="00AE1B9C"/>
    <w:rsid w:val="00AE22AC"/>
    <w:rsid w:val="00AE61CA"/>
    <w:rsid w:val="00AF00F8"/>
    <w:rsid w:val="00B00475"/>
    <w:rsid w:val="00B02175"/>
    <w:rsid w:val="00B031AA"/>
    <w:rsid w:val="00B10D1D"/>
    <w:rsid w:val="00B12127"/>
    <w:rsid w:val="00B12D8F"/>
    <w:rsid w:val="00B16212"/>
    <w:rsid w:val="00B1623A"/>
    <w:rsid w:val="00B2107B"/>
    <w:rsid w:val="00B249E7"/>
    <w:rsid w:val="00B261C0"/>
    <w:rsid w:val="00B26FB5"/>
    <w:rsid w:val="00B30327"/>
    <w:rsid w:val="00B30FE8"/>
    <w:rsid w:val="00B32691"/>
    <w:rsid w:val="00B46642"/>
    <w:rsid w:val="00B5022F"/>
    <w:rsid w:val="00B55109"/>
    <w:rsid w:val="00B551D6"/>
    <w:rsid w:val="00B5643C"/>
    <w:rsid w:val="00B62CC4"/>
    <w:rsid w:val="00B670C2"/>
    <w:rsid w:val="00B7231D"/>
    <w:rsid w:val="00B76BD4"/>
    <w:rsid w:val="00B85D9F"/>
    <w:rsid w:val="00B85E49"/>
    <w:rsid w:val="00B90E9C"/>
    <w:rsid w:val="00B91746"/>
    <w:rsid w:val="00B9204B"/>
    <w:rsid w:val="00B93C90"/>
    <w:rsid w:val="00BA1672"/>
    <w:rsid w:val="00BA2481"/>
    <w:rsid w:val="00BA4FBD"/>
    <w:rsid w:val="00BA50C7"/>
    <w:rsid w:val="00BB2A05"/>
    <w:rsid w:val="00BB2DEC"/>
    <w:rsid w:val="00BB41F5"/>
    <w:rsid w:val="00BB52AC"/>
    <w:rsid w:val="00BB7FAD"/>
    <w:rsid w:val="00BC0EFC"/>
    <w:rsid w:val="00BC7F14"/>
    <w:rsid w:val="00BD3557"/>
    <w:rsid w:val="00BD6930"/>
    <w:rsid w:val="00BD70BC"/>
    <w:rsid w:val="00BE5A6D"/>
    <w:rsid w:val="00BE6316"/>
    <w:rsid w:val="00BE6549"/>
    <w:rsid w:val="00BF05F2"/>
    <w:rsid w:val="00BF269A"/>
    <w:rsid w:val="00BF61B4"/>
    <w:rsid w:val="00BF7CE9"/>
    <w:rsid w:val="00C00865"/>
    <w:rsid w:val="00C056E2"/>
    <w:rsid w:val="00C06FA0"/>
    <w:rsid w:val="00C107FD"/>
    <w:rsid w:val="00C1433B"/>
    <w:rsid w:val="00C16361"/>
    <w:rsid w:val="00C26627"/>
    <w:rsid w:val="00C334B8"/>
    <w:rsid w:val="00C334E0"/>
    <w:rsid w:val="00C34360"/>
    <w:rsid w:val="00C36148"/>
    <w:rsid w:val="00C45CAC"/>
    <w:rsid w:val="00C4607D"/>
    <w:rsid w:val="00C46F0D"/>
    <w:rsid w:val="00C51018"/>
    <w:rsid w:val="00C5329B"/>
    <w:rsid w:val="00C57E76"/>
    <w:rsid w:val="00C57F0F"/>
    <w:rsid w:val="00C6041E"/>
    <w:rsid w:val="00C6495A"/>
    <w:rsid w:val="00C74DD0"/>
    <w:rsid w:val="00C77FF1"/>
    <w:rsid w:val="00C93C4B"/>
    <w:rsid w:val="00C944AB"/>
    <w:rsid w:val="00CA11BD"/>
    <w:rsid w:val="00CA1D78"/>
    <w:rsid w:val="00CA1D85"/>
    <w:rsid w:val="00CA4692"/>
    <w:rsid w:val="00CA56C2"/>
    <w:rsid w:val="00CA60D8"/>
    <w:rsid w:val="00CB2854"/>
    <w:rsid w:val="00CB2A66"/>
    <w:rsid w:val="00CC25E5"/>
    <w:rsid w:val="00CC320A"/>
    <w:rsid w:val="00CC525A"/>
    <w:rsid w:val="00CD058E"/>
    <w:rsid w:val="00CD61C2"/>
    <w:rsid w:val="00CE18C4"/>
    <w:rsid w:val="00CE5FF7"/>
    <w:rsid w:val="00CF170B"/>
    <w:rsid w:val="00CF5889"/>
    <w:rsid w:val="00CF7D7C"/>
    <w:rsid w:val="00D02A40"/>
    <w:rsid w:val="00D02D2F"/>
    <w:rsid w:val="00D03993"/>
    <w:rsid w:val="00D1530C"/>
    <w:rsid w:val="00D1645D"/>
    <w:rsid w:val="00D17640"/>
    <w:rsid w:val="00D21E2A"/>
    <w:rsid w:val="00D22EDB"/>
    <w:rsid w:val="00D235D0"/>
    <w:rsid w:val="00D259A4"/>
    <w:rsid w:val="00D31EBD"/>
    <w:rsid w:val="00D33B59"/>
    <w:rsid w:val="00D4305A"/>
    <w:rsid w:val="00D446C0"/>
    <w:rsid w:val="00D44A75"/>
    <w:rsid w:val="00D5291D"/>
    <w:rsid w:val="00D53284"/>
    <w:rsid w:val="00D57A8C"/>
    <w:rsid w:val="00D60739"/>
    <w:rsid w:val="00D6290A"/>
    <w:rsid w:val="00D62F43"/>
    <w:rsid w:val="00D63A92"/>
    <w:rsid w:val="00D63AC0"/>
    <w:rsid w:val="00D65E93"/>
    <w:rsid w:val="00D67914"/>
    <w:rsid w:val="00D758E0"/>
    <w:rsid w:val="00D77616"/>
    <w:rsid w:val="00D802D8"/>
    <w:rsid w:val="00D813C2"/>
    <w:rsid w:val="00D84638"/>
    <w:rsid w:val="00D85BC5"/>
    <w:rsid w:val="00D86FA9"/>
    <w:rsid w:val="00D9442F"/>
    <w:rsid w:val="00D94F27"/>
    <w:rsid w:val="00DA3856"/>
    <w:rsid w:val="00DA3D13"/>
    <w:rsid w:val="00DA5A96"/>
    <w:rsid w:val="00DB1B8E"/>
    <w:rsid w:val="00DB2019"/>
    <w:rsid w:val="00DB2127"/>
    <w:rsid w:val="00DB2E24"/>
    <w:rsid w:val="00DB381A"/>
    <w:rsid w:val="00DB4079"/>
    <w:rsid w:val="00DB5365"/>
    <w:rsid w:val="00DB766C"/>
    <w:rsid w:val="00DC4A38"/>
    <w:rsid w:val="00DC55FE"/>
    <w:rsid w:val="00DC5CF2"/>
    <w:rsid w:val="00DC66AA"/>
    <w:rsid w:val="00DC715F"/>
    <w:rsid w:val="00DD279C"/>
    <w:rsid w:val="00DD3453"/>
    <w:rsid w:val="00DD6216"/>
    <w:rsid w:val="00DE1EA0"/>
    <w:rsid w:val="00DE7219"/>
    <w:rsid w:val="00DF0D01"/>
    <w:rsid w:val="00DF328F"/>
    <w:rsid w:val="00DF369F"/>
    <w:rsid w:val="00DF460E"/>
    <w:rsid w:val="00DF4DC3"/>
    <w:rsid w:val="00DF6DB4"/>
    <w:rsid w:val="00E021E2"/>
    <w:rsid w:val="00E03270"/>
    <w:rsid w:val="00E05706"/>
    <w:rsid w:val="00E06487"/>
    <w:rsid w:val="00E07CA8"/>
    <w:rsid w:val="00E07F29"/>
    <w:rsid w:val="00E10C1A"/>
    <w:rsid w:val="00E13CFB"/>
    <w:rsid w:val="00E1425F"/>
    <w:rsid w:val="00E15DEE"/>
    <w:rsid w:val="00E15ED0"/>
    <w:rsid w:val="00E21BEB"/>
    <w:rsid w:val="00E226E8"/>
    <w:rsid w:val="00E319CB"/>
    <w:rsid w:val="00E326ED"/>
    <w:rsid w:val="00E3456B"/>
    <w:rsid w:val="00E35FF9"/>
    <w:rsid w:val="00E405BD"/>
    <w:rsid w:val="00E4171E"/>
    <w:rsid w:val="00E42C3D"/>
    <w:rsid w:val="00E44AE7"/>
    <w:rsid w:val="00E47C19"/>
    <w:rsid w:val="00E50BB2"/>
    <w:rsid w:val="00E56033"/>
    <w:rsid w:val="00E6436A"/>
    <w:rsid w:val="00E6508B"/>
    <w:rsid w:val="00E67456"/>
    <w:rsid w:val="00E676F3"/>
    <w:rsid w:val="00E73450"/>
    <w:rsid w:val="00E73CED"/>
    <w:rsid w:val="00E763A8"/>
    <w:rsid w:val="00E81CF0"/>
    <w:rsid w:val="00E82A32"/>
    <w:rsid w:val="00E85922"/>
    <w:rsid w:val="00E86476"/>
    <w:rsid w:val="00E86AFD"/>
    <w:rsid w:val="00E87C30"/>
    <w:rsid w:val="00E90AAD"/>
    <w:rsid w:val="00E94B28"/>
    <w:rsid w:val="00EA2D4F"/>
    <w:rsid w:val="00EA4A01"/>
    <w:rsid w:val="00EA5CD2"/>
    <w:rsid w:val="00EB33B9"/>
    <w:rsid w:val="00EB75A2"/>
    <w:rsid w:val="00EB7675"/>
    <w:rsid w:val="00EC1A79"/>
    <w:rsid w:val="00EC6533"/>
    <w:rsid w:val="00ED31C9"/>
    <w:rsid w:val="00ED4B95"/>
    <w:rsid w:val="00EE3DF2"/>
    <w:rsid w:val="00EE4DAC"/>
    <w:rsid w:val="00EE5B23"/>
    <w:rsid w:val="00EE75D0"/>
    <w:rsid w:val="00EE7A53"/>
    <w:rsid w:val="00EF2D4C"/>
    <w:rsid w:val="00F01235"/>
    <w:rsid w:val="00F02F49"/>
    <w:rsid w:val="00F05DA5"/>
    <w:rsid w:val="00F06BD8"/>
    <w:rsid w:val="00F07001"/>
    <w:rsid w:val="00F21F55"/>
    <w:rsid w:val="00F27316"/>
    <w:rsid w:val="00F31EFA"/>
    <w:rsid w:val="00F32029"/>
    <w:rsid w:val="00F32EE5"/>
    <w:rsid w:val="00F34525"/>
    <w:rsid w:val="00F34863"/>
    <w:rsid w:val="00F35676"/>
    <w:rsid w:val="00F40CAD"/>
    <w:rsid w:val="00F45153"/>
    <w:rsid w:val="00F51025"/>
    <w:rsid w:val="00F620F3"/>
    <w:rsid w:val="00F640BC"/>
    <w:rsid w:val="00F643C1"/>
    <w:rsid w:val="00F64496"/>
    <w:rsid w:val="00F66F14"/>
    <w:rsid w:val="00F700A9"/>
    <w:rsid w:val="00F719C0"/>
    <w:rsid w:val="00F77BB5"/>
    <w:rsid w:val="00F77E5A"/>
    <w:rsid w:val="00F80E8A"/>
    <w:rsid w:val="00F80ECA"/>
    <w:rsid w:val="00F824EC"/>
    <w:rsid w:val="00F843D3"/>
    <w:rsid w:val="00F86D86"/>
    <w:rsid w:val="00F87BDB"/>
    <w:rsid w:val="00F9280F"/>
    <w:rsid w:val="00F92B20"/>
    <w:rsid w:val="00F92F6E"/>
    <w:rsid w:val="00F96EC5"/>
    <w:rsid w:val="00F976CB"/>
    <w:rsid w:val="00FA055D"/>
    <w:rsid w:val="00FA0CE8"/>
    <w:rsid w:val="00FA2642"/>
    <w:rsid w:val="00FA3947"/>
    <w:rsid w:val="00FA4514"/>
    <w:rsid w:val="00FB0571"/>
    <w:rsid w:val="00FB4B9A"/>
    <w:rsid w:val="00FC0BCA"/>
    <w:rsid w:val="00FC0C3A"/>
    <w:rsid w:val="00FC3902"/>
    <w:rsid w:val="00FC57D5"/>
    <w:rsid w:val="00FC6D6A"/>
    <w:rsid w:val="00FD03BC"/>
    <w:rsid w:val="00FD04EB"/>
    <w:rsid w:val="00FD05C7"/>
    <w:rsid w:val="00FD1395"/>
    <w:rsid w:val="00FD1AFD"/>
    <w:rsid w:val="00FD2CBE"/>
    <w:rsid w:val="00FD4BCD"/>
    <w:rsid w:val="00FE34C9"/>
    <w:rsid w:val="00FE37D4"/>
    <w:rsid w:val="00FE5597"/>
    <w:rsid w:val="00FF1343"/>
    <w:rsid w:val="00FF393B"/>
    <w:rsid w:val="00FF638B"/>
    <w:rsid w:val="00FF79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29FE0C8-9B61-4CCA-85B4-0B281BBE0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Calibri" w:hAnsi="Calibri"/>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批注框文本 Char"/>
    <w:link w:val="1"/>
    <w:rPr>
      <w:sz w:val="18"/>
    </w:rPr>
  </w:style>
  <w:style w:type="character" w:customStyle="1" w:styleId="Char0">
    <w:name w:val="页脚 Char"/>
    <w:link w:val="10"/>
    <w:rPr>
      <w:sz w:val="18"/>
    </w:rPr>
  </w:style>
  <w:style w:type="character" w:customStyle="1" w:styleId="a3">
    <w:name w:val="页眉 字符"/>
    <w:link w:val="11"/>
    <w:rPr>
      <w:sz w:val="18"/>
    </w:rPr>
  </w:style>
  <w:style w:type="paragraph" w:customStyle="1" w:styleId="11">
    <w:name w:val="页眉1"/>
    <w:basedOn w:val="a"/>
    <w:link w:val="a3"/>
    <w:pPr>
      <w:pBdr>
        <w:bottom w:val="single" w:sz="6" w:space="1" w:color="auto"/>
      </w:pBdr>
      <w:tabs>
        <w:tab w:val="center" w:pos="4153"/>
        <w:tab w:val="right" w:pos="8306"/>
      </w:tabs>
      <w:snapToGrid w:val="0"/>
      <w:jc w:val="center"/>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1">
    <w:name w:val="批注框文本1"/>
    <w:basedOn w:val="a"/>
    <w:link w:val="Char"/>
    <w:rPr>
      <w:sz w:val="18"/>
    </w:rPr>
  </w:style>
  <w:style w:type="paragraph" w:customStyle="1" w:styleId="10">
    <w:name w:val="页脚1"/>
    <w:basedOn w:val="a"/>
    <w:link w:val="Char0"/>
    <w:pPr>
      <w:tabs>
        <w:tab w:val="center" w:pos="4153"/>
        <w:tab w:val="right" w:pos="8306"/>
      </w:tabs>
      <w:snapToGrid w:val="0"/>
      <w:jc w:val="left"/>
    </w:pPr>
    <w:rPr>
      <w:sz w:val="18"/>
    </w:rPr>
  </w:style>
  <w:style w:type="paragraph" w:styleId="a5">
    <w:name w:val="Balloon Text"/>
    <w:basedOn w:val="a"/>
    <w:link w:val="a6"/>
    <w:uiPriority w:val="99"/>
    <w:semiHidden/>
    <w:unhideWhenUsed/>
    <w:rsid w:val="00A2100E"/>
    <w:rPr>
      <w:sz w:val="18"/>
      <w:szCs w:val="18"/>
    </w:rPr>
  </w:style>
  <w:style w:type="character" w:customStyle="1" w:styleId="a6">
    <w:name w:val="批注框文本 字符"/>
    <w:link w:val="a5"/>
    <w:uiPriority w:val="99"/>
    <w:semiHidden/>
    <w:rsid w:val="00A2100E"/>
    <w:rPr>
      <w:rFonts w:ascii="Calibri" w:hAnsi="Calibri"/>
      <w:kern w:val="2"/>
      <w:sz w:val="18"/>
      <w:szCs w:val="18"/>
    </w:rPr>
  </w:style>
  <w:style w:type="character" w:styleId="a7">
    <w:name w:val="annotation reference"/>
    <w:uiPriority w:val="99"/>
    <w:semiHidden/>
    <w:unhideWhenUsed/>
    <w:rsid w:val="00154FB5"/>
    <w:rPr>
      <w:sz w:val="21"/>
      <w:szCs w:val="21"/>
    </w:rPr>
  </w:style>
  <w:style w:type="paragraph" w:styleId="a8">
    <w:name w:val="annotation text"/>
    <w:basedOn w:val="a"/>
    <w:link w:val="a9"/>
    <w:uiPriority w:val="99"/>
    <w:unhideWhenUsed/>
    <w:rsid w:val="00154FB5"/>
    <w:pPr>
      <w:jc w:val="left"/>
    </w:pPr>
  </w:style>
  <w:style w:type="character" w:customStyle="1" w:styleId="a9">
    <w:name w:val="批注文字 字符"/>
    <w:link w:val="a8"/>
    <w:uiPriority w:val="99"/>
    <w:rsid w:val="00154FB5"/>
    <w:rPr>
      <w:rFonts w:ascii="Calibri" w:hAnsi="Calibri"/>
      <w:kern w:val="2"/>
      <w:sz w:val="21"/>
    </w:rPr>
  </w:style>
  <w:style w:type="paragraph" w:styleId="aa">
    <w:name w:val="annotation subject"/>
    <w:basedOn w:val="a8"/>
    <w:next w:val="a8"/>
    <w:link w:val="ab"/>
    <w:uiPriority w:val="99"/>
    <w:semiHidden/>
    <w:unhideWhenUsed/>
    <w:rsid w:val="00154FB5"/>
    <w:rPr>
      <w:b/>
      <w:bCs/>
    </w:rPr>
  </w:style>
  <w:style w:type="character" w:customStyle="1" w:styleId="ab">
    <w:name w:val="批注主题 字符"/>
    <w:link w:val="aa"/>
    <w:uiPriority w:val="99"/>
    <w:semiHidden/>
    <w:rsid w:val="00154FB5"/>
    <w:rPr>
      <w:rFonts w:ascii="Calibri" w:hAnsi="Calibri"/>
      <w:b/>
      <w:bCs/>
      <w:kern w:val="2"/>
      <w:sz w:val="21"/>
    </w:rPr>
  </w:style>
  <w:style w:type="paragraph" w:styleId="ac">
    <w:name w:val="footer"/>
    <w:basedOn w:val="a"/>
    <w:link w:val="ad"/>
    <w:uiPriority w:val="99"/>
    <w:unhideWhenUsed/>
    <w:rsid w:val="00696FCE"/>
    <w:pPr>
      <w:tabs>
        <w:tab w:val="center" w:pos="4153"/>
        <w:tab w:val="right" w:pos="8306"/>
      </w:tabs>
      <w:snapToGrid w:val="0"/>
      <w:jc w:val="left"/>
    </w:pPr>
    <w:rPr>
      <w:sz w:val="18"/>
      <w:szCs w:val="18"/>
    </w:rPr>
  </w:style>
  <w:style w:type="character" w:customStyle="1" w:styleId="ad">
    <w:name w:val="页脚 字符"/>
    <w:basedOn w:val="a0"/>
    <w:link w:val="ac"/>
    <w:uiPriority w:val="99"/>
    <w:rsid w:val="00696FCE"/>
    <w:rPr>
      <w:rFonts w:ascii="Calibri" w:hAnsi="Calibri"/>
      <w:kern w:val="2"/>
      <w:sz w:val="18"/>
      <w:szCs w:val="18"/>
    </w:rPr>
  </w:style>
  <w:style w:type="paragraph" w:styleId="ae">
    <w:name w:val="Revision"/>
    <w:hidden/>
    <w:uiPriority w:val="99"/>
    <w:semiHidden/>
    <w:rsid w:val="00674521"/>
    <w:rPr>
      <w:rFonts w:ascii="Calibri" w:hAnsi="Calibri"/>
      <w:kern w:val="2"/>
      <w:sz w:val="21"/>
    </w:rPr>
  </w:style>
  <w:style w:type="paragraph" w:styleId="af">
    <w:name w:val="List Paragraph"/>
    <w:basedOn w:val="a"/>
    <w:uiPriority w:val="34"/>
    <w:qFormat/>
    <w:rsid w:val="0010566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430176">
      <w:bodyDiv w:val="1"/>
      <w:marLeft w:val="0"/>
      <w:marRight w:val="0"/>
      <w:marTop w:val="0"/>
      <w:marBottom w:val="0"/>
      <w:divBdr>
        <w:top w:val="none" w:sz="0" w:space="0" w:color="auto"/>
        <w:left w:val="none" w:sz="0" w:space="0" w:color="auto"/>
        <w:bottom w:val="none" w:sz="0" w:space="0" w:color="auto"/>
        <w:right w:val="none" w:sz="0" w:space="0" w:color="auto"/>
      </w:divBdr>
    </w:div>
    <w:div w:id="225145563">
      <w:bodyDiv w:val="1"/>
      <w:marLeft w:val="0"/>
      <w:marRight w:val="0"/>
      <w:marTop w:val="0"/>
      <w:marBottom w:val="0"/>
      <w:divBdr>
        <w:top w:val="none" w:sz="0" w:space="0" w:color="auto"/>
        <w:left w:val="none" w:sz="0" w:space="0" w:color="auto"/>
        <w:bottom w:val="none" w:sz="0" w:space="0" w:color="auto"/>
        <w:right w:val="none" w:sz="0" w:space="0" w:color="auto"/>
      </w:divBdr>
      <w:divsChild>
        <w:div w:id="127482174">
          <w:marLeft w:val="0"/>
          <w:marRight w:val="0"/>
          <w:marTop w:val="0"/>
          <w:marBottom w:val="0"/>
          <w:divBdr>
            <w:top w:val="none" w:sz="0" w:space="0" w:color="auto"/>
            <w:left w:val="none" w:sz="0" w:space="0" w:color="auto"/>
            <w:bottom w:val="none" w:sz="0" w:space="0" w:color="auto"/>
            <w:right w:val="none" w:sz="0" w:space="0" w:color="auto"/>
          </w:divBdr>
          <w:divsChild>
            <w:div w:id="89012375">
              <w:marLeft w:val="0"/>
              <w:marRight w:val="0"/>
              <w:marTop w:val="0"/>
              <w:marBottom w:val="0"/>
              <w:divBdr>
                <w:top w:val="none" w:sz="0" w:space="0" w:color="auto"/>
                <w:left w:val="none" w:sz="0" w:space="0" w:color="auto"/>
                <w:bottom w:val="none" w:sz="0" w:space="0" w:color="auto"/>
                <w:right w:val="none" w:sz="0" w:space="0" w:color="auto"/>
              </w:divBdr>
              <w:divsChild>
                <w:div w:id="1609268163">
                  <w:marLeft w:val="0"/>
                  <w:marRight w:val="0"/>
                  <w:marTop w:val="0"/>
                  <w:marBottom w:val="0"/>
                  <w:divBdr>
                    <w:top w:val="none" w:sz="0" w:space="0" w:color="auto"/>
                    <w:left w:val="none" w:sz="0" w:space="0" w:color="auto"/>
                    <w:bottom w:val="none" w:sz="0" w:space="0" w:color="auto"/>
                    <w:right w:val="none" w:sz="0" w:space="0" w:color="auto"/>
                  </w:divBdr>
                  <w:divsChild>
                    <w:div w:id="1185945244">
                      <w:marLeft w:val="0"/>
                      <w:marRight w:val="0"/>
                      <w:marTop w:val="0"/>
                      <w:marBottom w:val="0"/>
                      <w:divBdr>
                        <w:top w:val="none" w:sz="0" w:space="0" w:color="auto"/>
                        <w:left w:val="none" w:sz="0" w:space="0" w:color="auto"/>
                        <w:bottom w:val="none" w:sz="0" w:space="0" w:color="auto"/>
                        <w:right w:val="none" w:sz="0" w:space="0" w:color="auto"/>
                      </w:divBdr>
                      <w:divsChild>
                        <w:div w:id="440876905">
                          <w:marLeft w:val="0"/>
                          <w:marRight w:val="0"/>
                          <w:marTop w:val="0"/>
                          <w:marBottom w:val="0"/>
                          <w:divBdr>
                            <w:top w:val="none" w:sz="0" w:space="0" w:color="auto"/>
                            <w:left w:val="none" w:sz="0" w:space="0" w:color="auto"/>
                            <w:bottom w:val="none" w:sz="0" w:space="0" w:color="auto"/>
                            <w:right w:val="none" w:sz="0" w:space="0" w:color="auto"/>
                          </w:divBdr>
                          <w:divsChild>
                            <w:div w:id="1555972608">
                              <w:marLeft w:val="0"/>
                              <w:marRight w:val="0"/>
                              <w:marTop w:val="0"/>
                              <w:marBottom w:val="0"/>
                              <w:divBdr>
                                <w:top w:val="none" w:sz="0" w:space="0" w:color="auto"/>
                                <w:left w:val="none" w:sz="0" w:space="0" w:color="auto"/>
                                <w:bottom w:val="none" w:sz="0" w:space="0" w:color="auto"/>
                                <w:right w:val="none" w:sz="0" w:space="0" w:color="auto"/>
                              </w:divBdr>
                              <w:divsChild>
                                <w:div w:id="1463888077">
                                  <w:marLeft w:val="0"/>
                                  <w:marRight w:val="0"/>
                                  <w:marTop w:val="0"/>
                                  <w:marBottom w:val="0"/>
                                  <w:divBdr>
                                    <w:top w:val="none" w:sz="0" w:space="0" w:color="auto"/>
                                    <w:left w:val="none" w:sz="0" w:space="0" w:color="auto"/>
                                    <w:bottom w:val="none" w:sz="0" w:space="0" w:color="auto"/>
                                    <w:right w:val="none" w:sz="0" w:space="0" w:color="auto"/>
                                  </w:divBdr>
                                  <w:divsChild>
                                    <w:div w:id="1054429065">
                                      <w:marLeft w:val="0"/>
                                      <w:marRight w:val="0"/>
                                      <w:marTop w:val="0"/>
                                      <w:marBottom w:val="0"/>
                                      <w:divBdr>
                                        <w:top w:val="none" w:sz="0" w:space="0" w:color="auto"/>
                                        <w:left w:val="none" w:sz="0" w:space="0" w:color="auto"/>
                                        <w:bottom w:val="none" w:sz="0" w:space="0" w:color="auto"/>
                                        <w:right w:val="none" w:sz="0" w:space="0" w:color="auto"/>
                                      </w:divBdr>
                                      <w:divsChild>
                                        <w:div w:id="412169872">
                                          <w:marLeft w:val="0"/>
                                          <w:marRight w:val="0"/>
                                          <w:marTop w:val="0"/>
                                          <w:marBottom w:val="0"/>
                                          <w:divBdr>
                                            <w:top w:val="none" w:sz="0" w:space="0" w:color="auto"/>
                                            <w:left w:val="none" w:sz="0" w:space="0" w:color="auto"/>
                                            <w:bottom w:val="none" w:sz="0" w:space="0" w:color="auto"/>
                                            <w:right w:val="none" w:sz="0" w:space="0" w:color="auto"/>
                                          </w:divBdr>
                                          <w:divsChild>
                                            <w:div w:id="1871651089">
                                              <w:marLeft w:val="0"/>
                                              <w:marRight w:val="0"/>
                                              <w:marTop w:val="0"/>
                                              <w:marBottom w:val="0"/>
                                              <w:divBdr>
                                                <w:top w:val="none" w:sz="0" w:space="0" w:color="auto"/>
                                                <w:left w:val="none" w:sz="0" w:space="0" w:color="auto"/>
                                                <w:bottom w:val="none" w:sz="0" w:space="0" w:color="auto"/>
                                                <w:right w:val="none" w:sz="0" w:space="0" w:color="auto"/>
                                              </w:divBdr>
                                              <w:divsChild>
                                                <w:div w:id="678896101">
                                                  <w:marLeft w:val="0"/>
                                                  <w:marRight w:val="0"/>
                                                  <w:marTop w:val="0"/>
                                                  <w:marBottom w:val="0"/>
                                                  <w:divBdr>
                                                    <w:top w:val="none" w:sz="0" w:space="0" w:color="auto"/>
                                                    <w:left w:val="none" w:sz="0" w:space="0" w:color="auto"/>
                                                    <w:bottom w:val="none" w:sz="0" w:space="0" w:color="auto"/>
                                                    <w:right w:val="none" w:sz="0" w:space="0" w:color="auto"/>
                                                  </w:divBdr>
                                                  <w:divsChild>
                                                    <w:div w:id="654799240">
                                                      <w:marLeft w:val="0"/>
                                                      <w:marRight w:val="0"/>
                                                      <w:marTop w:val="0"/>
                                                      <w:marBottom w:val="0"/>
                                                      <w:divBdr>
                                                        <w:top w:val="none" w:sz="0" w:space="0" w:color="auto"/>
                                                        <w:left w:val="none" w:sz="0" w:space="0" w:color="auto"/>
                                                        <w:bottom w:val="none" w:sz="0" w:space="0" w:color="auto"/>
                                                        <w:right w:val="none" w:sz="0" w:space="0" w:color="auto"/>
                                                      </w:divBdr>
                                                      <w:divsChild>
                                                        <w:div w:id="1606116704">
                                                          <w:marLeft w:val="0"/>
                                                          <w:marRight w:val="0"/>
                                                          <w:marTop w:val="0"/>
                                                          <w:marBottom w:val="0"/>
                                                          <w:divBdr>
                                                            <w:top w:val="none" w:sz="0" w:space="0" w:color="auto"/>
                                                            <w:left w:val="none" w:sz="0" w:space="0" w:color="auto"/>
                                                            <w:bottom w:val="none" w:sz="0" w:space="0" w:color="auto"/>
                                                            <w:right w:val="none" w:sz="0" w:space="0" w:color="auto"/>
                                                          </w:divBdr>
                                                          <w:divsChild>
                                                            <w:div w:id="652562336">
                                                              <w:marLeft w:val="0"/>
                                                              <w:marRight w:val="0"/>
                                                              <w:marTop w:val="0"/>
                                                              <w:marBottom w:val="0"/>
                                                              <w:divBdr>
                                                                <w:top w:val="none" w:sz="0" w:space="0" w:color="auto"/>
                                                                <w:left w:val="none" w:sz="0" w:space="0" w:color="auto"/>
                                                                <w:bottom w:val="none" w:sz="0" w:space="0" w:color="auto"/>
                                                                <w:right w:val="none" w:sz="0" w:space="0" w:color="auto"/>
                                                              </w:divBdr>
                                                              <w:divsChild>
                                                                <w:div w:id="155034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74404784">
      <w:bodyDiv w:val="1"/>
      <w:marLeft w:val="0"/>
      <w:marRight w:val="0"/>
      <w:marTop w:val="0"/>
      <w:marBottom w:val="0"/>
      <w:divBdr>
        <w:top w:val="none" w:sz="0" w:space="0" w:color="auto"/>
        <w:left w:val="none" w:sz="0" w:space="0" w:color="auto"/>
        <w:bottom w:val="none" w:sz="0" w:space="0" w:color="auto"/>
        <w:right w:val="none" w:sz="0" w:space="0" w:color="auto"/>
      </w:divBdr>
    </w:div>
    <w:div w:id="281544540">
      <w:bodyDiv w:val="1"/>
      <w:marLeft w:val="0"/>
      <w:marRight w:val="0"/>
      <w:marTop w:val="0"/>
      <w:marBottom w:val="0"/>
      <w:divBdr>
        <w:top w:val="none" w:sz="0" w:space="0" w:color="auto"/>
        <w:left w:val="none" w:sz="0" w:space="0" w:color="auto"/>
        <w:bottom w:val="none" w:sz="0" w:space="0" w:color="auto"/>
        <w:right w:val="none" w:sz="0" w:space="0" w:color="auto"/>
      </w:divBdr>
    </w:div>
    <w:div w:id="487938988">
      <w:bodyDiv w:val="1"/>
      <w:marLeft w:val="0"/>
      <w:marRight w:val="0"/>
      <w:marTop w:val="0"/>
      <w:marBottom w:val="0"/>
      <w:divBdr>
        <w:top w:val="none" w:sz="0" w:space="0" w:color="auto"/>
        <w:left w:val="none" w:sz="0" w:space="0" w:color="auto"/>
        <w:bottom w:val="none" w:sz="0" w:space="0" w:color="auto"/>
        <w:right w:val="none" w:sz="0" w:space="0" w:color="auto"/>
      </w:divBdr>
    </w:div>
    <w:div w:id="561911025">
      <w:bodyDiv w:val="1"/>
      <w:marLeft w:val="0"/>
      <w:marRight w:val="0"/>
      <w:marTop w:val="0"/>
      <w:marBottom w:val="0"/>
      <w:divBdr>
        <w:top w:val="none" w:sz="0" w:space="0" w:color="auto"/>
        <w:left w:val="none" w:sz="0" w:space="0" w:color="auto"/>
        <w:bottom w:val="none" w:sz="0" w:space="0" w:color="auto"/>
        <w:right w:val="none" w:sz="0" w:space="0" w:color="auto"/>
      </w:divBdr>
    </w:div>
    <w:div w:id="667681498">
      <w:bodyDiv w:val="1"/>
      <w:marLeft w:val="0"/>
      <w:marRight w:val="0"/>
      <w:marTop w:val="0"/>
      <w:marBottom w:val="0"/>
      <w:divBdr>
        <w:top w:val="none" w:sz="0" w:space="0" w:color="auto"/>
        <w:left w:val="none" w:sz="0" w:space="0" w:color="auto"/>
        <w:bottom w:val="none" w:sz="0" w:space="0" w:color="auto"/>
        <w:right w:val="none" w:sz="0" w:space="0" w:color="auto"/>
      </w:divBdr>
    </w:div>
    <w:div w:id="672611149">
      <w:bodyDiv w:val="1"/>
      <w:marLeft w:val="0"/>
      <w:marRight w:val="0"/>
      <w:marTop w:val="0"/>
      <w:marBottom w:val="0"/>
      <w:divBdr>
        <w:top w:val="none" w:sz="0" w:space="0" w:color="auto"/>
        <w:left w:val="none" w:sz="0" w:space="0" w:color="auto"/>
        <w:bottom w:val="none" w:sz="0" w:space="0" w:color="auto"/>
        <w:right w:val="none" w:sz="0" w:space="0" w:color="auto"/>
      </w:divBdr>
    </w:div>
    <w:div w:id="717433683">
      <w:bodyDiv w:val="1"/>
      <w:marLeft w:val="0"/>
      <w:marRight w:val="0"/>
      <w:marTop w:val="0"/>
      <w:marBottom w:val="0"/>
      <w:divBdr>
        <w:top w:val="none" w:sz="0" w:space="0" w:color="auto"/>
        <w:left w:val="none" w:sz="0" w:space="0" w:color="auto"/>
        <w:bottom w:val="none" w:sz="0" w:space="0" w:color="auto"/>
        <w:right w:val="none" w:sz="0" w:space="0" w:color="auto"/>
      </w:divBdr>
    </w:div>
    <w:div w:id="925922984">
      <w:bodyDiv w:val="1"/>
      <w:marLeft w:val="0"/>
      <w:marRight w:val="0"/>
      <w:marTop w:val="0"/>
      <w:marBottom w:val="0"/>
      <w:divBdr>
        <w:top w:val="none" w:sz="0" w:space="0" w:color="auto"/>
        <w:left w:val="none" w:sz="0" w:space="0" w:color="auto"/>
        <w:bottom w:val="none" w:sz="0" w:space="0" w:color="auto"/>
        <w:right w:val="none" w:sz="0" w:space="0" w:color="auto"/>
      </w:divBdr>
    </w:div>
    <w:div w:id="1057358052">
      <w:bodyDiv w:val="1"/>
      <w:marLeft w:val="0"/>
      <w:marRight w:val="0"/>
      <w:marTop w:val="0"/>
      <w:marBottom w:val="0"/>
      <w:divBdr>
        <w:top w:val="none" w:sz="0" w:space="0" w:color="auto"/>
        <w:left w:val="none" w:sz="0" w:space="0" w:color="auto"/>
        <w:bottom w:val="none" w:sz="0" w:space="0" w:color="auto"/>
        <w:right w:val="none" w:sz="0" w:space="0" w:color="auto"/>
      </w:divBdr>
    </w:div>
    <w:div w:id="1336542535">
      <w:bodyDiv w:val="1"/>
      <w:marLeft w:val="0"/>
      <w:marRight w:val="0"/>
      <w:marTop w:val="0"/>
      <w:marBottom w:val="0"/>
      <w:divBdr>
        <w:top w:val="none" w:sz="0" w:space="0" w:color="auto"/>
        <w:left w:val="none" w:sz="0" w:space="0" w:color="auto"/>
        <w:bottom w:val="none" w:sz="0" w:space="0" w:color="auto"/>
        <w:right w:val="none" w:sz="0" w:space="0" w:color="auto"/>
      </w:divBdr>
    </w:div>
    <w:div w:id="1342778557">
      <w:bodyDiv w:val="1"/>
      <w:marLeft w:val="0"/>
      <w:marRight w:val="0"/>
      <w:marTop w:val="0"/>
      <w:marBottom w:val="0"/>
      <w:divBdr>
        <w:top w:val="none" w:sz="0" w:space="0" w:color="auto"/>
        <w:left w:val="none" w:sz="0" w:space="0" w:color="auto"/>
        <w:bottom w:val="none" w:sz="0" w:space="0" w:color="auto"/>
        <w:right w:val="none" w:sz="0" w:space="0" w:color="auto"/>
      </w:divBdr>
    </w:div>
    <w:div w:id="1426072064">
      <w:bodyDiv w:val="1"/>
      <w:marLeft w:val="0"/>
      <w:marRight w:val="0"/>
      <w:marTop w:val="0"/>
      <w:marBottom w:val="0"/>
      <w:divBdr>
        <w:top w:val="none" w:sz="0" w:space="0" w:color="auto"/>
        <w:left w:val="none" w:sz="0" w:space="0" w:color="auto"/>
        <w:bottom w:val="none" w:sz="0" w:space="0" w:color="auto"/>
        <w:right w:val="none" w:sz="0" w:space="0" w:color="auto"/>
      </w:divBdr>
    </w:div>
    <w:div w:id="1651783031">
      <w:bodyDiv w:val="1"/>
      <w:marLeft w:val="0"/>
      <w:marRight w:val="0"/>
      <w:marTop w:val="0"/>
      <w:marBottom w:val="0"/>
      <w:divBdr>
        <w:top w:val="none" w:sz="0" w:space="0" w:color="auto"/>
        <w:left w:val="none" w:sz="0" w:space="0" w:color="auto"/>
        <w:bottom w:val="none" w:sz="0" w:space="0" w:color="auto"/>
        <w:right w:val="none" w:sz="0" w:space="0" w:color="auto"/>
      </w:divBdr>
      <w:divsChild>
        <w:div w:id="1528368181">
          <w:marLeft w:val="0"/>
          <w:marRight w:val="0"/>
          <w:marTop w:val="0"/>
          <w:marBottom w:val="0"/>
          <w:divBdr>
            <w:top w:val="none" w:sz="0" w:space="0" w:color="auto"/>
            <w:left w:val="none" w:sz="0" w:space="0" w:color="auto"/>
            <w:bottom w:val="none" w:sz="0" w:space="0" w:color="auto"/>
            <w:right w:val="none" w:sz="0" w:space="0" w:color="auto"/>
          </w:divBdr>
        </w:div>
      </w:divsChild>
    </w:div>
    <w:div w:id="1762333380">
      <w:bodyDiv w:val="1"/>
      <w:marLeft w:val="0"/>
      <w:marRight w:val="0"/>
      <w:marTop w:val="0"/>
      <w:marBottom w:val="0"/>
      <w:divBdr>
        <w:top w:val="none" w:sz="0" w:space="0" w:color="auto"/>
        <w:left w:val="none" w:sz="0" w:space="0" w:color="auto"/>
        <w:bottom w:val="none" w:sz="0" w:space="0" w:color="auto"/>
        <w:right w:val="none" w:sz="0" w:space="0" w:color="auto"/>
      </w:divBdr>
    </w:div>
    <w:div w:id="208105002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4"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757</TotalTime>
  <Pages>8</Pages>
  <Words>684</Words>
  <Characters>3901</Characters>
  <Application>Microsoft Office Word</Application>
  <DocSecurity>0</DocSecurity>
  <PresentationFormat/>
  <Lines>32</Lines>
  <Paragraphs>9</Paragraphs>
  <Slides>0</Slides>
  <Notes>0</Notes>
  <HiddenSlides>0</HiddenSlides>
  <MMClips>0</MMClips>
  <ScaleCrop>false</ScaleCrop>
  <Manager/>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公开募集证券投资基金核心要素表（被动权益类）</dc:title>
  <dc:subject/>
  <dc:creator>luoyiling_ai</dc:creator>
  <cp:keywords/>
  <dc:description/>
  <cp:lastModifiedBy>罗依灵</cp:lastModifiedBy>
  <cp:revision>542</cp:revision>
  <cp:lastPrinted>2024-03-04T07:01:00Z</cp:lastPrinted>
  <dcterms:created xsi:type="dcterms:W3CDTF">2023-03-20T01:38:00Z</dcterms:created>
  <dcterms:modified xsi:type="dcterms:W3CDTF">2026-02-04T05:22:00Z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2052-6.5.0.1956</vt:lpwstr>
  </property>
</Properties>
</file>