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Group 8 项目完成计划</w:t>
      </w:r>
    </w:p>
    <w:p>
      <w:pPr>
        <w:pStyle w:val="Subtitle"/>
        <w:widowControl/>
      </w:pPr>
      <w:r>
        <w:t>CSI 436/536  Project P  Learning with Pretrained Representations</w:t>
      </w:r>
    </w:p>
    <w:p>
      <w:pPr>
        <w:widowControl/>
      </w:pPr>
      <w:r>
        <w:t>成员  Yuhan Sun · Zeyu Pan · Jiayu Liao</w:t>
        <w:br/>
        <w:t>更新日期  2026 年 10 月 20 日</w:t>
      </w:r>
    </w:p>
    <w:p>
      <w:pPr>
        <w:widowControl/>
      </w:pPr>
      <w:r>
        <w:rPr>
          <w:b/>
        </w:rPr>
        <w:t>当前阶段：</w:t>
      </w:r>
      <w:r>
        <w:t>期中材料和 pilot 实验已完成。接下来需要完成完整语料实验、稳健性检查、错误分析及期末交付。</w:t>
      </w:r>
    </w:p>
    <w:p>
      <w:pPr>
        <w:widowControl/>
      </w:pPr>
      <w:r>
        <w:t>本计划建议用约 14 个工作日完成主线。以下日程为工作量安排；课程截止日期和期末展示时长以最新通知为准。</w:t>
      </w:r>
    </w:p>
    <w:p>
      <w:pPr>
        <w:pStyle w:val="Heading2"/>
      </w:pPr>
      <w:r>
        <w:t>已完成的工作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8"/>
        <w:gridCol w:w="5256"/>
        <w:gridCol w:w="3456"/>
      </w:tblGrid>
      <w:tr>
        <w:trPr>
          <w:cantSplit/>
          <w:tblHeader/>
        </w:trPr>
        <w:tc>
          <w:tcPr>
            <w:tcW w:type="dxa" w:w="1368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525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已核实进度</w:t>
            </w:r>
          </w:p>
        </w:tc>
        <w:tc>
          <w:tcPr>
            <w:tcW w:type="dxa" w:w="345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剩余工作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原始 11,871 句，清理后 11,559 句；完成文档分组及精确重复处理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完整语料划分审计与近重复检查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方法与实验</w:t>
            </w:r>
          </w:p>
        </w:tc>
        <w:tc>
          <w:tcPr>
            <w:tcW w:type="dxa" w:w="52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五种方法；1,500 训练 / 400 验证 / 600 测试；75 次 pilot 评估</w:t>
            </w:r>
          </w:p>
        </w:tc>
        <w:tc>
          <w:tcPr>
            <w:tcW w:type="dxa" w:w="34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最终协议下的主实验和对照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工程与诊断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模型版本、缓存、预测及图表已保存；4 项测试和 75 次结果审计通过；10 组句子对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通用审计、系统错误分析及全新环境复现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材料与代码</w:t>
            </w:r>
          </w:p>
        </w:tc>
        <w:tc>
          <w:tcPr>
            <w:tcW w:type="dxa" w:w="52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6 页期中 PPT、单页报告、讲稿、HTML 指南；GitHub 已上传</w:t>
            </w:r>
          </w:p>
        </w:tc>
        <w:tc>
          <w:tcPr>
            <w:tcW w:type="dxa" w:w="34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期末报告、PPT 和最终代码包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widowControl/>
      </w:pPr>
      <w:r>
        <w:rPr>
          <w:b/>
        </w:rPr>
        <w:t>进度口径：</w:t>
      </w:r>
      <w:r>
        <w:t>文件生成并检查不代表已经向老师提交。当前 full 结果指 1,500 句 pilot 训练池；完整语料实验尚未运行。</w:t>
      </w:r>
    </w:p>
    <w:p>
      <w:pPr>
        <w:pStyle w:val="Heading2"/>
      </w:pPr>
      <w:r>
        <w:t>最终研究问题与任务范围</w:t>
      </w:r>
    </w:p>
    <w:p>
      <w:pPr>
        <w:widowControl/>
      </w:pPr>
      <w:r>
        <w:t>在生物医学否定与推测提示词检测中，冻结的预训练表征在什么训练预算下更有帮助？结论在不同文档划分和类别比例下是否稳定？</w:t>
      </w:r>
    </w:p>
    <w:p>
      <w:pPr>
        <w:widowControl/>
      </w:pPr>
      <w:r>
        <w:t>主任务使用 no_cue、negation_only、speculation_only 三类真实标注。no_cue 不能解释为患者肯定患病。疾病实体状态及未见疾病泛化需额外可靠标注。</w:t>
      </w:r>
    </w:p>
    <w:p>
      <w:pPr>
        <w:widowControl/>
      </w:pPr>
      <w:r>
        <w:rPr>
          <w:b/>
        </w:rPr>
        <w:t>现有观察：</w:t>
      </w:r>
      <w:r>
        <w:t>每类 100 句时 BioBERT + LR 的 macro-F1 为 67.8% ± 1.1%；完整 pilot 训练池上 TF-IDF + SVM 为 84.3%。两种设置的类别比例不同，仍需对照分析。</w:t>
      </w:r>
    </w:p>
    <w:p>
      <w:r>
        <w:br w:type="page"/>
      </w:r>
    </w:p>
    <w:p>
      <w:pPr>
        <w:pStyle w:val="Heading1"/>
      </w:pPr>
      <w:r>
        <w:t>固定协议与完成主实验</w:t>
      </w:r>
    </w:p>
    <w:p>
      <w:pPr>
        <w:pStyle w:val="Heading2"/>
      </w:pPr>
      <w:r>
        <w:t>阶段 1  第 1 至 2 天  固定最终协议</w:t>
      </w:r>
    </w:p>
    <w:p>
      <w:pPr>
        <w:pStyle w:val="ListBullet"/>
        <w:widowControl/>
      </w:pPr>
      <w:r>
        <w:t>新建最终实验配置，解除训练与测试的 pilot 数量上限，验证集保持 400 句；保留原 pilot 配置和结果。</w:t>
      </w:r>
    </w:p>
    <w:p>
      <w:pPr>
        <w:pStyle w:val="ListBullet"/>
        <w:widowControl/>
      </w:pPr>
      <w:r>
        <w:t>固定方法、预算、种子、C 搜索范围和主要指标。训练前检查近重复句及模板，必要时重新分组并记录版本。</w:t>
      </w:r>
    </w:p>
    <w:p>
      <w:pPr>
        <w:pStyle w:val="ListBullet"/>
        <w:widowControl/>
      </w:pPr>
      <w:r>
        <w:t>将 audit_results.py 从只读取 pilot 改为按配置审计，并检查实验矩阵是否完整；确认缓存创建、失败提示及重跑行为在新环境中有效。</w:t>
      </w:r>
    </w:p>
    <w:p>
      <w:pPr>
        <w:widowControl/>
      </w:pPr>
      <w:r>
        <w:rPr>
          <w:b/>
        </w:rPr>
        <w:t>验收：</w:t>
      </w:r>
      <w:r>
        <w:t>最终配置、样本和文档组数量已记录；不同方法使用相同训练 ID；缺失实验可被审计发现；新增结果写入独立目录。</w:t>
      </w:r>
    </w:p>
    <w:p>
      <w:pPr>
        <w:pStyle w:val="Heading2"/>
      </w:pPr>
      <w:r>
        <w:t>核心实验设置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424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计划设置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方法</w:t>
            </w:r>
          </w:p>
        </w:tc>
        <w:tc>
          <w:tcPr>
            <w:tcW w:type="dxa" w:w="842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TF-IDF + LR；TF-IDF + Linear SVM；BERT、BioBERT、PubMedBERT 冻结表征 + LR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训练预算</w:t>
            </w:r>
          </w:p>
        </w:tc>
        <w:tc>
          <w:tcPr>
            <w:tcW w:type="dxa" w:w="8424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每类 10 / 25 / 50 / 100 句，另报完整训练池；平衡预算与完整池分开展示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模型选择</w:t>
            </w:r>
          </w:p>
        </w:tc>
        <w:tc>
          <w:tcPr>
            <w:tcW w:type="dxa" w:w="842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仅在验证集选择 C，范围 0.1 / 1 / 10；测试集用于最终评估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重复与指标</w:t>
            </w:r>
          </w:p>
        </w:tc>
        <w:tc>
          <w:tcPr>
            <w:tcW w:type="dxa" w:w="8424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平衡预算各 3 个抽样种子；主要指标 macro-F1，辅以 accuracy、precision、recall、各类 recall 和混淆矩阵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widowControl/>
      </w:pPr>
      <w:r>
        <w:rPr>
          <w:b/>
        </w:rPr>
        <w:t>标注预算说明：</w:t>
      </w:r>
      <w:r>
        <w:t>所有设置额外使用 400 句验证标签。报告必须把训练标签数与验证标签数写清楚。</w:t>
      </w:r>
    </w:p>
    <w:p>
      <w:pPr>
        <w:pStyle w:val="Heading2"/>
      </w:pPr>
      <w:r>
        <w:t>阶段 2  第 3 至 5 天  跑通完整语料实验</w:t>
      </w:r>
    </w:p>
    <w:p>
      <w:pPr>
        <w:pStyle w:val="ListBullet"/>
        <w:widowControl/>
      </w:pPr>
      <w:r>
        <w:t>提取三种模型的冻结表征并缓存；运行全部五种方法，保存原始预测、训练 ID、调参记录和收敛情况。</w:t>
      </w:r>
    </w:p>
    <w:p>
      <w:pPr>
        <w:pStyle w:val="ListBullet"/>
        <w:widowControl/>
      </w:pPr>
      <w:r>
        <w:t>每个方法的完整训练池确定性拟合运行一次即可。一个文档划分下，四档预算各 3 次，加完整池 1 次，共计划 65 组主实验结果。</w:t>
      </w:r>
    </w:p>
    <w:p>
      <w:pPr>
        <w:pStyle w:val="ListBullet"/>
        <w:widowControl/>
      </w:pPr>
      <w:r>
        <w:t>自动生成主结果表、平衡预算学习曲线与混淆矩阵；分别记录特征提取和分类器训练时间。</w:t>
      </w:r>
    </w:p>
    <w:p>
      <w:pPr>
        <w:widowControl/>
      </w:pPr>
      <w:r>
        <w:rPr>
          <w:b/>
        </w:rPr>
        <w:t>验收：</w:t>
      </w:r>
      <w:r>
        <w:t>全部计划结果完成并通过通用审计；表格和图中每个数字可追溯到保存的预测。</w:t>
      </w:r>
    </w:p>
    <w:p>
      <w:r>
        <w:br w:type="page"/>
      </w:r>
    </w:p>
    <w:p>
      <w:pPr>
        <w:pStyle w:val="Heading1"/>
      </w:pPr>
      <w:r>
        <w:t>稳定性检查与错误分析</w:t>
      </w:r>
    </w:p>
    <w:p>
      <w:pPr>
        <w:pStyle w:val="Heading2"/>
      </w:pPr>
      <w:r>
        <w:t>阶段 3  第 6 至 8 天  完成关键对照</w:t>
      </w:r>
    </w:p>
    <w:p>
      <w:pPr>
        <w:pStyle w:val="Heading2"/>
        <w:widowControl/>
      </w:pPr>
      <w:r>
        <w:t>文档划分稳定性</w:t>
      </w:r>
    </w:p>
    <w:p>
      <w:pPr>
        <w:pStyle w:val="ListBullet"/>
        <w:widowControl/>
      </w:pPr>
      <w:r>
        <w:t>增加两个预先固定的文档组划分，重复主要比较；每个划分内独立调参，并尽量复用冻结表征。</w:t>
      </w:r>
    </w:p>
    <w:p>
      <w:pPr>
        <w:pStyle w:val="ListBullet"/>
        <w:widowControl/>
      </w:pPr>
      <w:r>
        <w:t>分别报告训练子集抽样的变化和文档划分的变化。这些结果是同一语料上的内部检查，不能称为独立外部验证。</w:t>
      </w:r>
    </w:p>
    <w:p>
      <w:pPr>
        <w:pStyle w:val="Heading2"/>
        <w:widowControl/>
      </w:pPr>
      <w:r>
        <w:t>类别比例对照</w:t>
      </w:r>
    </w:p>
    <w:p>
      <w:pPr>
        <w:pStyle w:val="ListBullet"/>
        <w:widowControl/>
      </w:pPr>
      <w:r>
        <w:t>固定总训练量为 300 句，对比每类 100 句与按自然类别比例抽取 300 句；保持验证集、测试集和调参规则相同。</w:t>
      </w:r>
    </w:p>
    <w:p>
      <w:pPr>
        <w:pStyle w:val="ListBullet"/>
        <w:widowControl/>
      </w:pPr>
      <w:r>
        <w:t>记录实际类别数，检查当前 balanced 与 full 设置的差异是否部分来自类别构成。</w:t>
      </w:r>
    </w:p>
    <w:p>
      <w:pPr>
        <w:widowControl/>
      </w:pPr>
      <w:r>
        <w:rPr>
          <w:b/>
        </w:rPr>
        <w:t>验收：</w:t>
      </w:r>
      <w:r>
        <w:t>能说明方法排序是否稳定，以及类别比例是否影响结论；若结果不稳定，报告适用条件和变化范围。</w:t>
      </w:r>
    </w:p>
    <w:p>
      <w:pPr>
        <w:pStyle w:val="Heading2"/>
      </w:pPr>
      <w:r>
        <w:t>阶段 4  第 9 至 10 天  解释错误与模型差异</w:t>
      </w:r>
    </w:p>
    <w:p>
      <w:pPr>
        <w:pStyle w:val="ListBullet"/>
        <w:widowControl/>
      </w:pPr>
      <w:r>
        <w:t>分层抽取约 60 个案例，覆盖不同类别、方法分歧和正确或错误预测，记录抽样规则。</w:t>
      </w:r>
    </w:p>
    <w:p>
      <w:pPr>
        <w:pStyle w:val="ListBullet"/>
        <w:widowControl/>
      </w:pPr>
      <w:r>
        <w:t>按实际错误归纳类型，如少见提示词、长句、上下文歧义和截断；两名组员独立检查部分案例，再处理分歧。</w:t>
      </w:r>
    </w:p>
    <w:p>
      <w:pPr>
        <w:pStyle w:val="ListBullet"/>
        <w:widowControl/>
      </w:pPr>
      <w:r>
        <w:t>复核已有 10 组人工句子对，可补充少量缩写、同义表达和作用范围对照；这些材料继续用于定性诊断。</w:t>
      </w:r>
    </w:p>
    <w:p>
      <w:pPr>
        <w:widowControl/>
      </w:pPr>
      <w:r>
        <w:rPr>
          <w:b/>
        </w:rPr>
        <w:t>验收：</w:t>
      </w:r>
      <w:r>
        <w:t>有错误类别统计和代表案例，能解释简单方法与预训练表征各自的优势和限制。</w:t>
      </w:r>
    </w:p>
    <w:p>
      <w:pPr>
        <w:widowControl/>
      </w:pPr>
      <w:r>
        <w:rPr>
          <w:b/>
        </w:rPr>
        <w:t>解释边界：</w:t>
      </w:r>
      <w:r>
        <w:t>余弦相似度高不能单独证明模型无法区分否定；句级分类正确不能证明疾病状态判断正确。移除提示词后应重新核对标签，不能直接沿用原标签评价语义能力。</w:t>
      </w:r>
    </w:p>
    <w:p>
      <w:pPr>
        <w:pStyle w:val="Heading2"/>
      </w:pPr>
      <w:r>
        <w:t>扩展任务的进入条件</w:t>
      </w:r>
    </w:p>
    <w:p>
      <w:pPr>
        <w:widowControl/>
      </w:pPr>
      <w:r>
        <w:t>主线完成后，再考虑混合提示词的多标签任务、表征加 linear SVM，或有可靠实体标注支持的 target-span pooling 与疾病泛化。建议第 10 天后冻结实验范围，转入复现和写作。</w:t>
      </w:r>
    </w:p>
    <w:p>
      <w:pPr>
        <w:widowControl/>
      </w:pPr>
      <w:r>
        <w:t>若时间不足，优先完成主实验、类别比例对照和错误分析，并明确披露尚未完成的跨划分检查。</w:t>
      </w:r>
    </w:p>
    <w:p>
      <w:r>
        <w:br w:type="page"/>
      </w:r>
    </w:p>
    <w:p>
      <w:pPr>
        <w:pStyle w:val="Heading1"/>
      </w:pPr>
      <w:r>
        <w:t>最终交付与小组分工</w:t>
      </w:r>
    </w:p>
    <w:p>
      <w:pPr>
        <w:pStyle w:val="Heading2"/>
      </w:pPr>
      <w:r>
        <w:t>阶段 5  第 11 至 14 天  完成材料并复现</w:t>
      </w:r>
    </w:p>
    <w:p>
      <w:pPr>
        <w:pStyle w:val="ListBullet"/>
        <w:widowControl/>
      </w:pPr>
      <w:r>
        <w:t>完成最多 4 页的 LaTeX 期末报告，包含问题、方法、实验、分析、限制和结论；按最终课程通知制作期末 PPT。</w:t>
      </w:r>
    </w:p>
    <w:p>
      <w:pPr>
        <w:pStyle w:val="ListBullet"/>
        <w:widowControl/>
      </w:pPr>
      <w:r>
        <w:t>由未负责主实验运行的成员，在全新环境或另一台机器上重新运行并核对最终表格。记录依赖、模型版本、数据来源及设备数值误差。</w:t>
      </w:r>
    </w:p>
    <w:p>
      <w:pPr>
        <w:pStyle w:val="ListBullet"/>
        <w:widowControl/>
      </w:pPr>
      <w:r>
        <w:t>对报告数字重算指标，核对图表与正文；更新 README、实际执行记录、GitHub 和代码压缩包，并保存最终 commit。</w:t>
      </w:r>
    </w:p>
    <w:p>
      <w:pPr>
        <w:pStyle w:val="Heading2"/>
      </w:pPr>
      <w:r>
        <w:t>建议分工</w:t>
      </w:r>
    </w:p>
    <w:p>
      <w:pPr>
        <w:widowControl/>
      </w:pPr>
      <w:r>
        <w:t>以下分工供小组确认。三位成员都应能解释任务标签、数据划分、macro-F1、冻结表征和主要结论。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4896"/>
        <w:gridCol w:w="3384"/>
      </w:tblGrid>
      <w:tr>
        <w:trPr>
          <w:cantSplit/>
          <w:tblHeader/>
        </w:trPr>
        <w:tc>
          <w:tcPr>
            <w:tcW w:type="dxa" w:w="180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4896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主要负责</w:t>
            </w:r>
          </w:p>
        </w:tc>
        <w:tc>
          <w:tcPr>
            <w:tcW w:type="dxa" w:w="3384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交叉检查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Yuhan Sun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研究问题、协议、报告与展示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每项结论对应的实验依据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Zeyu Pan</w:t>
            </w:r>
          </w:p>
        </w:tc>
        <w:tc>
          <w:tcPr>
            <w:tcW w:type="dxa" w:w="4896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数据划分、主实验、缓存及结果保存</w:t>
            </w:r>
          </w:p>
        </w:tc>
        <w:tc>
          <w:tcPr>
            <w:tcW w:type="dxa" w:w="3384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重复句和数据泄漏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Jiayu Liao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错误分析、图表及全新环境复现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报告数字与运行说明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pStyle w:val="Heading2"/>
      </w:pPr>
      <w:r>
        <w:t>交付检查清单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1"/>
              </w:rPr>
              <w:t>交付项</w:t>
            </w:r>
          </w:p>
        </w:tc>
        <w:tc>
          <w:tcPr>
            <w:tcW w:type="dxa" w:w="8280"/>
            <w:vAlign w:val="center"/>
            <w:shd w:fill="DFE8F1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实验与分析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五种方法结果完整；预算和验证成本明确；稳定性、比例对照及错误分析有记录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报告与展示</w:t>
            </w:r>
          </w:p>
        </w:tc>
        <w:tc>
          <w:tcPr>
            <w:tcW w:type="dxa" w:w="828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报告不超过 4 页；PPT、正文和图表数字一致；结论不超出任务及数据支持范围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代码与复现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另一位成员按 README 可重新运行；所有报告数字可追溯；依赖和模型版本明确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1"/>
              </w:rPr>
              <w:t>引用与提交</w:t>
            </w:r>
          </w:p>
        </w:tc>
        <w:tc>
          <w:tcPr>
            <w:tcW w:type="dxa" w:w="8280"/>
            <w:vAlign w:val="center"/>
            <w:shd w:fill="F7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数据、模型、外部代码及 AI 辅助有说明；PDF 和代码按课程渠道提交并确认成功</w:t>
            </w:r>
          </w:p>
        </w:tc>
      </w:tr>
    </w:tbl>
    <w:p>
      <w:pPr>
        <w:spacing w:after="0" w:before="0" w:line="120" w:lineRule="auto"/>
      </w:pPr>
      <w:r>
        <w:rPr>
          <w:sz w:val="6"/>
        </w:rPr>
      </w:r>
    </w:p>
    <w:p>
      <w:pPr>
        <w:widowControl/>
      </w:pPr>
      <w:r>
        <w:rPr>
          <w:b/>
        </w:rPr>
        <w:t>提交渠道：</w:t>
      </w:r>
      <w:r>
        <w:t>报告 PDF 交 Gradescope；代码邮件发送给 TA 并抄送教师，地址和期限以课程通知为准。至少一位成员确认提交成功，GitHub 上传本身不能代替课程提交。</w:t>
      </w:r>
    </w:p>
    <w:p>
      <w:pPr>
        <w:pStyle w:val="Heading2"/>
      </w:pPr>
      <w:r>
        <w:t>第一步行动</w:t>
      </w:r>
    </w:p>
    <w:p>
      <w:pPr>
        <w:widowControl/>
      </w:pPr>
      <w:r>
        <w:t>先确认研究范围和建议分工，建立最终配置并改造通用审计，再启动完整语料实验。当前 full.json 的验证集未封顶，需要先调整为本计划约定的协议。</w:t>
      </w:r>
    </w:p>
    <w:p>
      <w:pPr>
        <w:widowControl/>
      </w:pPr>
      <w:r>
        <w:t>依据：课程 project.pdf、项目 EXECUTION_STATUS.md、pilot/summary.csv 及现有实验脚本。详细步骤见同目录 COMPLETION_PLAN.md。</w:t>
      </w:r>
    </w:p>
    <w:sectPr w:rsidR="00FC693F" w:rsidRPr="0006063C" w:rsidSect="00034616">
      <w:footerReference w:type="default" r:id="rId9"/>
      <w:pgSz w:w="12240" w:h="15840"/>
      <w:pgMar w:top="979" w:right="1080" w:bottom="979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Group 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Arial" w:hAnsi="Arial" w:eastAsia="Songti SC"/>
      <w:b w:val="0"/>
      <w:i w:val="0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60" w:lineRule="exact"/>
      <w:outlineLvl w:val="0"/>
    </w:pPr>
    <w:rPr>
      <w:rFonts w:ascii="Arial" w:hAnsi="Arial" w:eastAsia="PingFang SC"/>
      <w:b/>
      <w:bCs/>
      <w:i w:val="0"/>
      <w:color w:val="000000"/>
      <w:sz w:val="34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80" w:lineRule="exact"/>
      <w:outlineLvl w:val="1"/>
    </w:pPr>
    <w:rPr>
      <w:rFonts w:ascii="Arial" w:hAnsi="Arial" w:eastAsia="PingFang SC"/>
      <w:b/>
      <w:bCs/>
      <w:i w:val="0"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</w:pPr>
    <w:rPr>
      <w:rFonts w:ascii="Arial" w:hAnsi="Arial" w:eastAsia="PingFang SC"/>
      <w:b/>
      <w:i w:val="0"/>
      <w:color w:val="000000"/>
      <w:spacing w:val="5"/>
      <w:kern w:val="28"/>
      <w:sz w:val="4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</w:pPr>
    <w:rPr>
      <w:rFonts w:ascii="Arial" w:hAnsi="Arial" w:eastAsia="PingFang SC"/>
      <w:b w:val="0"/>
      <w:i w:val="0"/>
      <w:iCs/>
      <w:color w:val="000000"/>
      <w:spacing w:val="15"/>
      <w:sz w:val="22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ind w:left="259" w:hanging="259"/>
      <w:contextualSpacing/>
    </w:pPr>
    <w:rPr>
      <w:rFonts w:ascii="Arial" w:hAnsi="Arial" w:eastAsia="Songti SC"/>
      <w:b w:val="0"/>
      <w:i w:val="0"/>
      <w:color w:val="000000"/>
      <w:sz w:val="22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8 项目完成计划</dc:title>
  <dc:subject>CSI 436/536 Project P 进度与执行计划</dc:subject>
  <dc:creator>Group 8</dc:creator>
  <cp:keywords>Group 8, BioScope, Project P, completion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