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完整训练前阶段报告</w:t>
      </w:r>
    </w:p>
    <w:p>
      <w:pPr>
        <w:pStyle w:val="Subtitle"/>
        <w:widowControl/>
      </w:pPr>
      <w:r>
        <w:t>Group 8  CSI 436/536  Project P</w:t>
      </w:r>
    </w:p>
    <w:p>
      <w:pPr>
        <w:widowControl/>
      </w:pPr>
      <w:r>
        <w:t>Yuhan Sun · Zeyu Pan · Jiayu Liao</w:t>
        <w:br/>
        <w:t>2026 年 10 月 20 日</w:t>
      </w:r>
    </w:p>
    <w:p>
      <w:pPr>
        <w:widowControl/>
      </w:pPr>
      <w:r>
        <w:rPr>
          <w:b/>
        </w:rPr>
        <w:t>当前状态：</w:t>
      </w:r>
      <w:r>
        <w:t>本地训练前准备已完成，正式主实验为 0/65。租好 AutoDL 后，先通过 SSH 完成 Linux/CUDA 实机检查，再开始完整训练。</w:t>
      </w:r>
    </w:p>
    <w:p>
      <w:pPr>
        <w:pStyle w:val="Heading2"/>
      </w:pPr>
      <w:r>
        <w:t>研究任务</w:t>
      </w:r>
    </w:p>
    <w:p>
      <w:pPr>
        <w:widowControl/>
      </w:pPr>
      <w:r>
        <w:t>我们研究冻结的通用及医学预训练表征，在不同训练标签预算下，是否比词汇特征更有利于生物医学否定与推测提示词检测。BioScope 句级标签为 no_cue、negation_only、speculation_only；它们不直接表示患者的疾病状态。</w:t>
      </w:r>
    </w:p>
    <w:p>
      <w:pPr>
        <w:pStyle w:val="Heading2"/>
      </w:pPr>
      <w:r>
        <w:t>已完成任务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656"/>
        <w:gridCol w:w="5256"/>
        <w:gridCol w:w="3168"/>
      </w:tblGrid>
      <w:tr>
        <w:trPr>
          <w:cantSplit/>
          <w:tblHeader/>
        </w:trPr>
        <w:tc>
          <w:tcPr>
            <w:tcW w:type="dxa" w:w="1656"/>
            <w:vAlign w:val="center"/>
            <w:shd w:fill="DFE8F1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/>
                <w:sz w:val="21"/>
              </w:rPr>
              <w:t>模块</w:t>
            </w:r>
          </w:p>
        </w:tc>
        <w:tc>
          <w:tcPr>
            <w:tcW w:type="dxa" w:w="5256"/>
            <w:vAlign w:val="center"/>
            <w:shd w:fill="DFE8F1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/>
                <w:sz w:val="21"/>
              </w:rPr>
              <w:t>完成内容</w:t>
            </w:r>
          </w:p>
        </w:tc>
        <w:tc>
          <w:tcPr>
            <w:tcW w:type="dxa" w:w="3168"/>
            <w:vAlign w:val="center"/>
            <w:shd w:fill="DFE8F1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/>
                <w:sz w:val="21"/>
              </w:rPr>
              <w:t>验证结果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1"/>
              </w:rPr>
              <w:t>协议与数据</w:t>
            </w:r>
          </w:p>
        </w:tc>
        <w:tc>
          <w:tcPr>
            <w:tcW w:type="dxa" w:w="5256"/>
            <w:vAlign w:val="center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1"/>
              </w:rPr>
              <w:t>固定模型版本、训练预算、C 网格、种子与指标；完成文档及重复句分组</w:t>
            </w:r>
          </w:p>
        </w:tc>
        <w:tc>
          <w:tcPr>
            <w:tcW w:type="dxa" w:w="3168"/>
            <w:vAlign w:val="center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1"/>
              </w:rPr>
              <w:t>最终划分与抽样清单已保存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7F8FA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1"/>
              </w:rPr>
              <w:t>新环境与复现</w:t>
            </w:r>
          </w:p>
        </w:tc>
        <w:tc>
          <w:tcPr>
            <w:tcW w:type="dxa" w:w="5256"/>
            <w:vAlign w:val="center"/>
            <w:shd w:fill="F7F8FA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1"/>
              </w:rPr>
              <w:t>独立安装锁定依赖，在空目录重建数据和划分</w:t>
            </w:r>
          </w:p>
        </w:tc>
        <w:tc>
          <w:tcPr>
            <w:tcW w:type="dxa" w:w="3168"/>
            <w:vAlign w:val="center"/>
            <w:shd w:fill="F7F8FA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1"/>
              </w:rPr>
              <w:t>依赖无冲突；四个文件指纹一致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1"/>
              </w:rPr>
              <w:t>模型与运行</w:t>
            </w:r>
          </w:p>
        </w:tc>
        <w:tc>
          <w:tcPr>
            <w:tcW w:type="dxa" w:w="5256"/>
            <w:vAlign w:val="center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1"/>
              </w:rPr>
              <w:t>加载三个固定模型；五种方法跑通人工小数据、审计和图表</w:t>
            </w:r>
          </w:p>
        </w:tc>
        <w:tc>
          <w:tcPr>
            <w:tcW w:type="dxa" w:w="3168"/>
            <w:vAlign w:val="center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1"/>
              </w:rPr>
              <w:t>10 次技术评估通过；6 张 PNG 图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7F8FA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1"/>
              </w:rPr>
              <w:t>缓存与恢复</w:t>
            </w:r>
          </w:p>
        </w:tc>
        <w:tc>
          <w:tcPr>
            <w:tcW w:type="dxa" w:w="5256"/>
            <w:vAlign w:val="center"/>
            <w:shd w:fill="F7F8FA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1"/>
              </w:rPr>
              <w:t>缓存校验、设备隔离、日志、已完成组跳过和不完整组重跑</w:t>
            </w:r>
          </w:p>
        </w:tc>
        <w:tc>
          <w:tcPr>
            <w:tcW w:type="dxa" w:w="3168"/>
            <w:vAlign w:val="center"/>
            <w:shd w:fill="F7F8FA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1"/>
              </w:rPr>
              <w:t>缓存与恢复检查通过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1"/>
              </w:rPr>
              <w:t>审计与交接</w:t>
            </w:r>
          </w:p>
        </w:tc>
        <w:tc>
          <w:tcPr>
            <w:tcW w:type="dxa" w:w="5256"/>
            <w:vAlign w:val="center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1"/>
              </w:rPr>
              <w:t>通用审计、AutoDL 安装脚本、训练入口与回传说明</w:t>
            </w:r>
          </w:p>
        </w:tc>
        <w:tc>
          <w:tcPr>
            <w:tcW w:type="dxa" w:w="3168"/>
            <w:vAlign w:val="center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1"/>
              </w:rPr>
              <w:t>22 项测试；75 次 pilot 复审</w:t>
            </w:r>
          </w:p>
        </w:tc>
      </w:tr>
    </w:tbl>
    <w:p>
      <w:pPr>
        <w:spacing w:after="0" w:before="0" w:line="120" w:lineRule="auto"/>
      </w:pPr>
      <w:r>
        <w:rPr>
          <w:sz w:val="6"/>
        </w:rPr>
      </w:r>
    </w:p>
    <w:p>
      <w:pPr>
        <w:pStyle w:val="Heading2"/>
      </w:pPr>
      <w:r>
        <w:t>最终数据已准备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440"/>
        <w:gridCol w:w="2160"/>
        <w:gridCol w:w="2160"/>
        <w:gridCol w:w="2160"/>
        <w:gridCol w:w="2160"/>
      </w:tblGrid>
      <w:tr>
        <w:trPr>
          <w:cantSplit/>
          <w:tblHeader/>
        </w:trPr>
        <w:tc>
          <w:tcPr>
            <w:tcW w:type="dxa" w:w="1440"/>
            <w:vAlign w:val="center"/>
            <w:shd w:fill="DFE8F1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/>
                <w:sz w:val="21"/>
              </w:rPr>
              <w:t>集合</w:t>
            </w:r>
          </w:p>
        </w:tc>
        <w:tc>
          <w:tcPr>
            <w:tcW w:type="dxa" w:w="2160"/>
            <w:vAlign w:val="center"/>
            <w:shd w:fill="DFE8F1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/>
                <w:sz w:val="21"/>
              </w:rPr>
              <w:t>无提示词</w:t>
            </w:r>
          </w:p>
        </w:tc>
        <w:tc>
          <w:tcPr>
            <w:tcW w:type="dxa" w:w="2160"/>
            <w:vAlign w:val="center"/>
            <w:shd w:fill="DFE8F1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/>
                <w:sz w:val="21"/>
              </w:rPr>
              <w:t>仅否定</w:t>
            </w:r>
          </w:p>
        </w:tc>
        <w:tc>
          <w:tcPr>
            <w:tcW w:type="dxa" w:w="2160"/>
            <w:vAlign w:val="center"/>
            <w:shd w:fill="DFE8F1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/>
                <w:sz w:val="21"/>
              </w:rPr>
              <w:t>仅推测</w:t>
            </w:r>
          </w:p>
        </w:tc>
        <w:tc>
          <w:tcPr>
            <w:tcW w:type="dxa" w:w="2160"/>
            <w:vAlign w:val="center"/>
            <w:shd w:fill="DFE8F1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/>
                <w:sz w:val="21"/>
              </w:rPr>
              <w:t>总句数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1"/>
              </w:rPr>
              <w:t>训练</w:t>
            </w:r>
          </w:p>
        </w:tc>
        <w:tc>
          <w:tcPr>
            <w:tcW w:type="dxa" w:w="2160"/>
            <w:vAlign w:val="center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1"/>
              </w:rPr>
              <w:t>5,076</w:t>
            </w:r>
          </w:p>
        </w:tc>
        <w:tc>
          <w:tcPr>
            <w:tcW w:type="dxa" w:w="2160"/>
            <w:vAlign w:val="center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1"/>
              </w:rPr>
              <w:t>780</w:t>
            </w:r>
          </w:p>
        </w:tc>
        <w:tc>
          <w:tcPr>
            <w:tcW w:type="dxa" w:w="2160"/>
            <w:vAlign w:val="center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1"/>
              </w:rPr>
              <w:t>1,083</w:t>
            </w:r>
          </w:p>
        </w:tc>
        <w:tc>
          <w:tcPr>
            <w:tcW w:type="dxa" w:w="2160"/>
            <w:vAlign w:val="center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1"/>
              </w:rPr>
              <w:t>6,939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7F8FA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1"/>
              </w:rPr>
              <w:t>验证</w:t>
            </w:r>
          </w:p>
        </w:tc>
        <w:tc>
          <w:tcPr>
            <w:tcW w:type="dxa" w:w="2160"/>
            <w:vAlign w:val="center"/>
            <w:shd w:fill="F7F8FA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1"/>
              </w:rPr>
              <w:t>292</w:t>
            </w:r>
          </w:p>
        </w:tc>
        <w:tc>
          <w:tcPr>
            <w:tcW w:type="dxa" w:w="2160"/>
            <w:vAlign w:val="center"/>
            <w:shd w:fill="F7F8FA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1"/>
              </w:rPr>
              <w:t>45</w:t>
            </w:r>
          </w:p>
        </w:tc>
        <w:tc>
          <w:tcPr>
            <w:tcW w:type="dxa" w:w="2160"/>
            <w:vAlign w:val="center"/>
            <w:shd w:fill="F7F8FA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1"/>
              </w:rPr>
              <w:t>63</w:t>
            </w:r>
          </w:p>
        </w:tc>
        <w:tc>
          <w:tcPr>
            <w:tcW w:type="dxa" w:w="2160"/>
            <w:vAlign w:val="center"/>
            <w:shd w:fill="F7F8FA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1"/>
              </w:rPr>
              <w:t>400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1"/>
              </w:rPr>
              <w:t>测试</w:t>
            </w:r>
          </w:p>
        </w:tc>
        <w:tc>
          <w:tcPr>
            <w:tcW w:type="dxa" w:w="2160"/>
            <w:vAlign w:val="center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1"/>
              </w:rPr>
              <w:t>1,686</w:t>
            </w:r>
          </w:p>
        </w:tc>
        <w:tc>
          <w:tcPr>
            <w:tcW w:type="dxa" w:w="2160"/>
            <w:vAlign w:val="center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1"/>
              </w:rPr>
              <w:t>260</w:t>
            </w:r>
          </w:p>
        </w:tc>
        <w:tc>
          <w:tcPr>
            <w:tcW w:type="dxa" w:w="2160"/>
            <w:vAlign w:val="center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1"/>
              </w:rPr>
              <w:t>362</w:t>
            </w:r>
          </w:p>
        </w:tc>
        <w:tc>
          <w:tcPr>
            <w:tcW w:type="dxa" w:w="2160"/>
            <w:vAlign w:val="center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1"/>
              </w:rPr>
              <w:t>2,308</w:t>
            </w:r>
          </w:p>
        </w:tc>
      </w:tr>
    </w:tbl>
    <w:p>
      <w:pPr>
        <w:spacing w:after="0" w:before="0" w:line="120" w:lineRule="auto"/>
      </w:pPr>
      <w:r>
        <w:rPr>
          <w:sz w:val="6"/>
        </w:rPr>
      </w:r>
    </w:p>
    <w:p>
      <w:pPr>
        <w:widowControl/>
      </w:pPr>
      <w:r>
        <w:t>原始 11,871 句，清理后 11,559 句，本次使用 9,647 句。验证折中另有 1,912 句因 400 句上限未选用，没有移回训练集。文档和文档组在不同集合间隔离。</w:t>
      </w:r>
    </w:p>
    <w:p>
      <w:r>
        <w:br w:type="page"/>
      </w:r>
    </w:p>
    <w:p>
      <w:pPr>
        <w:pStyle w:val="Heading1"/>
      </w:pPr>
      <w:r>
        <w:t>实验进度与验证结果</w:t>
      </w:r>
    </w:p>
    <w:p>
      <w:pPr>
        <w:pStyle w:val="Heading2"/>
      </w:pPr>
      <w:r>
        <w:t>已有 pilot 科学结果</w:t>
      </w:r>
    </w:p>
    <w:p>
      <w:pPr>
        <w:widowControl/>
      </w:pPr>
      <w:r>
        <w:t>以下结果来自此前完成的 pilot：1,500 句训练、400 句验证、600 句测试。表中为测试 macro-F1 百分比；第一列为三个训练抽样种子的均值与样本标准差。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744"/>
        <w:gridCol w:w="3168"/>
        <w:gridCol w:w="3168"/>
      </w:tblGrid>
      <w:tr>
        <w:trPr>
          <w:cantSplit/>
          <w:tblHeader/>
        </w:trPr>
        <w:tc>
          <w:tcPr>
            <w:tcW w:type="dxa" w:w="3744"/>
            <w:vAlign w:val="center"/>
            <w:shd w:fill="DFE8F1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/>
                <w:sz w:val="21"/>
              </w:rPr>
              <w:t>方法</w:t>
            </w:r>
          </w:p>
        </w:tc>
        <w:tc>
          <w:tcPr>
            <w:tcW w:type="dxa" w:w="3168"/>
            <w:vAlign w:val="center"/>
            <w:shd w:fill="DFE8F1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/>
                <w:sz w:val="21"/>
              </w:rPr>
              <w:t>每类 100 句</w:t>
            </w:r>
          </w:p>
        </w:tc>
        <w:tc>
          <w:tcPr>
            <w:tcW w:type="dxa" w:w="3168"/>
            <w:vAlign w:val="center"/>
            <w:shd w:fill="DFE8F1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/>
                <w:sz w:val="21"/>
              </w:rPr>
              <w:t>完整 pilot 训练池</w:t>
            </w:r>
          </w:p>
        </w:tc>
      </w:tr>
      <w:tr>
        <w:trPr>
          <w:cantSplit/>
        </w:trPr>
        <w:tc>
          <w:tcPr>
            <w:tcW w:type="dxa" w:w="3744"/>
            <w:vAlign w:val="center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1"/>
              </w:rPr>
              <w:t>TF-IDF + LR</w:t>
            </w:r>
          </w:p>
        </w:tc>
        <w:tc>
          <w:tcPr>
            <w:tcW w:type="dxa" w:w="3168"/>
            <w:vAlign w:val="center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1"/>
              </w:rPr>
              <w:t>59.1 ± 0.8</w:t>
            </w:r>
          </w:p>
        </w:tc>
        <w:tc>
          <w:tcPr>
            <w:tcW w:type="dxa" w:w="3168"/>
            <w:vAlign w:val="center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1"/>
              </w:rPr>
              <w:t>81.7</w:t>
            </w:r>
          </w:p>
        </w:tc>
      </w:tr>
      <w:tr>
        <w:trPr>
          <w:cantSplit/>
        </w:trPr>
        <w:tc>
          <w:tcPr>
            <w:tcW w:type="dxa" w:w="3744"/>
            <w:vAlign w:val="center"/>
            <w:shd w:fill="F7F8FA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1"/>
              </w:rPr>
              <w:t>TF-IDF + SVM</w:t>
            </w:r>
          </w:p>
        </w:tc>
        <w:tc>
          <w:tcPr>
            <w:tcW w:type="dxa" w:w="3168"/>
            <w:vAlign w:val="center"/>
            <w:shd w:fill="F7F8FA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1"/>
              </w:rPr>
              <w:t>59.0 ± 0.8</w:t>
            </w:r>
          </w:p>
        </w:tc>
        <w:tc>
          <w:tcPr>
            <w:tcW w:type="dxa" w:w="3168"/>
            <w:vAlign w:val="center"/>
            <w:shd w:fill="F7F8FA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1"/>
              </w:rPr>
              <w:t>84.3</w:t>
            </w:r>
          </w:p>
        </w:tc>
      </w:tr>
      <w:tr>
        <w:trPr>
          <w:cantSplit/>
        </w:trPr>
        <w:tc>
          <w:tcPr>
            <w:tcW w:type="dxa" w:w="3744"/>
            <w:vAlign w:val="center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1"/>
              </w:rPr>
              <w:t>BERT + LR</w:t>
            </w:r>
          </w:p>
        </w:tc>
        <w:tc>
          <w:tcPr>
            <w:tcW w:type="dxa" w:w="3168"/>
            <w:vAlign w:val="center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1"/>
              </w:rPr>
              <w:t>64.4 ± 1.3</w:t>
            </w:r>
          </w:p>
        </w:tc>
        <w:tc>
          <w:tcPr>
            <w:tcW w:type="dxa" w:w="3168"/>
            <w:vAlign w:val="center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1"/>
              </w:rPr>
              <w:t>77.7</w:t>
            </w:r>
          </w:p>
        </w:tc>
      </w:tr>
      <w:tr>
        <w:trPr>
          <w:cantSplit/>
        </w:trPr>
        <w:tc>
          <w:tcPr>
            <w:tcW w:type="dxa" w:w="3744"/>
            <w:vAlign w:val="center"/>
            <w:shd w:fill="F7F8FA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1"/>
              </w:rPr>
              <w:t>BioBERT + LR</w:t>
            </w:r>
          </w:p>
        </w:tc>
        <w:tc>
          <w:tcPr>
            <w:tcW w:type="dxa" w:w="3168"/>
            <w:vAlign w:val="center"/>
            <w:shd w:fill="F7F8FA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1"/>
              </w:rPr>
              <w:t>67.8 ± 1.1</w:t>
            </w:r>
          </w:p>
        </w:tc>
        <w:tc>
          <w:tcPr>
            <w:tcW w:type="dxa" w:w="3168"/>
            <w:vAlign w:val="center"/>
            <w:shd w:fill="F7F8FA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1"/>
              </w:rPr>
              <w:t>80.4</w:t>
            </w:r>
          </w:p>
        </w:tc>
      </w:tr>
      <w:tr>
        <w:trPr>
          <w:cantSplit/>
        </w:trPr>
        <w:tc>
          <w:tcPr>
            <w:tcW w:type="dxa" w:w="3744"/>
            <w:vAlign w:val="center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1"/>
              </w:rPr>
              <w:t>PubMedBERT + LR</w:t>
            </w:r>
          </w:p>
        </w:tc>
        <w:tc>
          <w:tcPr>
            <w:tcW w:type="dxa" w:w="3168"/>
            <w:vAlign w:val="center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1"/>
              </w:rPr>
              <w:t>65.8 ± 1.7</w:t>
            </w:r>
          </w:p>
        </w:tc>
        <w:tc>
          <w:tcPr>
            <w:tcW w:type="dxa" w:w="3168"/>
            <w:vAlign w:val="center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1"/>
              </w:rPr>
              <w:t>82.6</w:t>
            </w:r>
          </w:p>
        </w:tc>
      </w:tr>
    </w:tbl>
    <w:p>
      <w:pPr>
        <w:spacing w:after="0" w:before="0" w:line="120" w:lineRule="auto"/>
      </w:pPr>
      <w:r>
        <w:rPr>
          <w:sz w:val="6"/>
        </w:rPr>
      </w:r>
    </w:p>
    <w:p>
      <w:pPr>
        <w:widowControl/>
      </w:pPr>
      <w:r>
        <w:t>方法表现随训练设置变化。两个设置的类别比例不同，差异不能只归因于样本量；三个抽样种子共用一个测试集，标准差不是独立测试人群上的置信区间。</w:t>
      </w:r>
    </w:p>
    <w:p>
      <w:pPr>
        <w:pStyle w:val="Heading2"/>
      </w:pPr>
      <w:r>
        <w:t>正式主实验计划</w:t>
      </w:r>
    </w:p>
    <w:p>
      <w:pPr>
        <w:widowControl/>
      </w:pPr>
      <w:r>
        <w:t>五种方法采用每类 10、25、50、100 句的平衡预算，每档三个种子；完整训练池每个方法只拟合一次。因此计划为 5 × (4 × 3 + 1) = 65 次评估、195 个 C 候选拟合。三个编码器均冻结；GPU 用于编码，线性分类器在 CPU 上拟合。</w:t>
      </w:r>
    </w:p>
    <w:p>
      <w:pPr>
        <w:pStyle w:val="Heading2"/>
      </w:pPr>
      <w:r>
        <w:t>本阶段实测验证</w:t>
      </w:r>
    </w:p>
    <w:p>
      <w:pPr>
        <w:pStyle w:val="ListBullet"/>
        <w:widowControl/>
      </w:pPr>
      <w:r>
        <w:t>全新 Python 3.12.14 环境重新安装锁定依赖；PyTorch 2.11.0、Transformers 4.57.6；pip check 无冲突，22 项自动测试通过。</w:t>
      </w:r>
    </w:p>
    <w:p>
      <w:pPr>
        <w:pStyle w:val="ListBullet"/>
        <w:widowControl/>
      </w:pPr>
      <w:r>
        <w:t>30 句人工数据分为 18 训练 / 6 验证 / 6 测试；五种方法、两档预算共 10 次技术评估通过审计。其得分不作为研究发现。</w:t>
      </w:r>
    </w:p>
    <w:p>
      <w:pPr>
        <w:pStyle w:val="ListBullet"/>
        <w:widowControl/>
      </w:pPr>
      <w:r>
        <w:t>三种模型均生成 30 × 768 有限表征；缓存二次读取未改写文件。损坏缓存被拒绝；恢复流程只重跑不完整的 TF-IDF 组。</w:t>
      </w:r>
    </w:p>
    <w:p>
      <w:pPr>
        <w:pStyle w:val="ListBullet"/>
        <w:widowControl/>
      </w:pPr>
      <w:r>
        <w:t>原 75 次 pilot 评估复审通过；核对 174 个历史文件的校验和，确认数据、配置和结果未被本阶段改写。</w:t>
      </w:r>
    </w:p>
    <w:p>
      <w:pPr>
        <w:widowControl/>
      </w:pPr>
      <w:r>
        <w:rPr>
          <w:b/>
        </w:rPr>
        <w:t>验证边界：</w:t>
      </w:r>
      <w:r>
        <w:t>以上在 macOS arm64 / CPU 完成。模型权重复用本机已下载的官方缓存；AutoDL 首次下载、Linux/CUDA、显存峰值和实际耗时仍待实机验证。</w:t>
      </w:r>
    </w:p>
    <w:p>
      <w:r>
        <w:br w:type="page"/>
      </w:r>
    </w:p>
    <w:p>
      <w:pPr>
        <w:pStyle w:val="Heading1"/>
      </w:pPr>
      <w:r>
        <w:t>AutoDL 交接与后续工作</w:t>
      </w:r>
    </w:p>
    <w:p>
      <w:pPr>
        <w:pStyle w:val="Heading2"/>
      </w:pPr>
      <w:r>
        <w:t>租好实例后的执行顺序</w:t>
      </w:r>
    </w:p>
    <w:p>
      <w:pPr>
        <w:widowControl/>
      </w:pPr>
      <w:r>
        <w:t>提供控制台 SSH 命令、GPU 和镜像信息，以及可用认证方式。使用密钥时提供本机路径即可，认证信息不放入报告或 GitHub。</w:t>
      </w:r>
    </w:p>
    <w:p>
      <w:pPr>
        <w:pStyle w:val="ListBullet"/>
        <w:widowControl/>
      </w:pPr>
      <w:r>
        <w:t>检查 SSH 连接、GPU 驱动与 CUDA 张量运算；安装 Python 3.12 和锁定依赖，保存实际环境。</w:t>
      </w:r>
    </w:p>
    <w:p>
      <w:pPr>
        <w:pStyle w:val="ListBullet"/>
        <w:widowControl/>
      </w:pPr>
      <w:r>
        <w:t>重建正式数据并核对指纹、文档隔离、共享训练 ID 与 65 次评估计划。</w:t>
      </w:r>
    </w:p>
    <w:p>
      <w:pPr>
        <w:pStyle w:val="ListBullet"/>
        <w:widowControl/>
      </w:pPr>
      <w:r>
        <w:t>在 GPU 上重复 30 句人工数据检查，确认三种模型、缓存、拟合、审计和恢复流程通过。</w:t>
      </w:r>
    </w:p>
    <w:p>
      <w:pPr>
        <w:pStyle w:val="ListBullet"/>
        <w:widowControl/>
      </w:pPr>
      <w:r>
        <w:t>在 tmux 后台会话中启动完整实验；保存逐组日志，通过审计的组可跳过，不完整的组重新运行。</w:t>
      </w:r>
    </w:p>
    <w:p>
      <w:pPr>
        <w:pStyle w:val="ListBullet"/>
        <w:widowControl/>
      </w:pPr>
      <w:r>
        <w:t>结束后审计 65 次结果并生成表格和图，将预测、配置、代码版本、日志和审计报告回传本地。</w:t>
      </w:r>
    </w:p>
    <w:p>
      <w:pPr>
        <w:pStyle w:val="Heading2"/>
      </w:pPr>
      <w:r>
        <w:t>关键运行入口</w:t>
      </w:r>
    </w:p>
    <w:p>
      <w:pPr>
        <w:widowControl/>
      </w:pPr>
      <w:r>
        <w:t>scripts/setup_autodl.sh 安装并检查远程环境，不启动训练。experiments.launch_final 默认仅打印计划；添加 --device cuda --execute 才运行，添加 --resume 可恢复。详细命令见 docs/AUTODL_RUNBOOK.md。</w:t>
      </w:r>
    </w:p>
    <w:p>
      <w:pPr>
        <w:pStyle w:val="Heading2"/>
      </w:pPr>
      <w:r>
        <w:t>正式训练后仍需完成</w:t>
      </w:r>
    </w:p>
    <w:p>
      <w:pPr>
        <w:pStyle w:val="ListBullet"/>
        <w:widowControl/>
      </w:pPr>
      <w:r>
        <w:t>两个额外文档划分及固定 300 句的自然类别比例对照，检查结论的稳定性。</w:t>
      </w:r>
    </w:p>
    <w:p>
      <w:pPr>
        <w:pStyle w:val="ListBullet"/>
        <w:widowControl/>
      </w:pPr>
      <w:r>
        <w:t>约 60 个案例的系统错误分析，记录抽样规则并由组员交叉复核。</w:t>
      </w:r>
    </w:p>
    <w:p>
      <w:pPr>
        <w:pStyle w:val="ListBullet"/>
        <w:widowControl/>
      </w:pPr>
      <w:r>
        <w:t>期末报告、最终展示和独立复现；提交期限与展示时长以课程后续通知为准。</w:t>
      </w:r>
    </w:p>
    <w:p>
      <w:pPr>
        <w:pStyle w:val="Heading2"/>
      </w:pPr>
      <w:r>
        <w:t>解释限制与交付记录</w:t>
      </w:r>
    </w:p>
    <w:p>
      <w:pPr>
        <w:widowControl/>
      </w:pPr>
      <w:r>
        <w:t>近重复规则命中 3 对句子，涉及两篇文档，已在划分前关联；105 个短句未被规则覆盖，语义改写也可能残留。最终协议在查看 pilot 后制定，属于同一语料上的探索性扩展，不能称为独立外部验证。</w:t>
      </w:r>
    </w:p>
    <w:p>
      <w:pPr>
        <w:widowControl/>
      </w:pPr>
      <w:r>
        <w:t>完整阶段报告：docs/STAGE_REPORT.md</w:t>
        <w:br/>
        <w:t>固定协议：docs/FINAL_PROTOCOL.md</w:t>
        <w:br/>
        <w:t>远程操作：docs/AUTODL_RUNBOOK.md</w:t>
        <w:br/>
        <w:t>验收证据：results/pretrain/verification.json</w:t>
        <w:br/>
        <w:t>已有结果：results/metrics/pilot/summary.csv</w:t>
      </w:r>
    </w:p>
    <w:p>
      <w:pPr>
        <w:widowControl/>
      </w:pPr>
      <w:r>
        <w:t>本项目使用 Codex 辅助实现与文档整理。小组成员仍需理解方法、复核结论，并遵守课程的披露与协作要求。期中材料已生成，不代表已向课程平台提交。</w:t>
      </w:r>
    </w:p>
    <w:sectPr w:rsidR="00FC693F" w:rsidRPr="0006063C" w:rsidSect="00034616">
      <w:pgSz w:w="12240" w:h="15840"/>
      <w:pgMar w:top="979" w:right="1080" w:bottom="979" w:left="1080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0" w:lineRule="exact" w:after="120"/>
    </w:pPr>
    <w:rPr>
      <w:rFonts w:ascii="Arial" w:hAnsi="Arial" w:eastAsia="Songti SC"/>
      <w:b w:val="0"/>
      <w:i w:val="0"/>
      <w:color w:val="000000"/>
      <w:sz w:val="22"/>
      <w:lang w:val="en-US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40" w:line="460" w:lineRule="exact"/>
      <w:outlineLvl w:val="0"/>
    </w:pPr>
    <w:rPr>
      <w:rFonts w:ascii="Arial" w:hAnsi="Arial" w:eastAsia="PingFang SC"/>
      <w:b/>
      <w:bCs/>
      <w:i w:val="0"/>
      <w:color w:val="000000"/>
      <w:sz w:val="34"/>
      <w:szCs w:val="28"/>
      <w:lang w:val="en-US"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 w:line="380" w:lineRule="exact"/>
      <w:outlineLvl w:val="1"/>
    </w:pPr>
    <w:rPr>
      <w:rFonts w:ascii="Arial" w:hAnsi="Arial" w:eastAsia="PingFang SC"/>
      <w:b/>
      <w:bCs/>
      <w:i w:val="0"/>
      <w:color w:val="000000"/>
      <w:sz w:val="26"/>
      <w:szCs w:val="26"/>
      <w:lang w:val="en-US"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600" w:lineRule="exact"/>
      <w:contextualSpacing/>
    </w:pPr>
    <w:rPr>
      <w:rFonts w:ascii="Arial" w:hAnsi="Arial" w:eastAsia="PingFang SC"/>
      <w:b/>
      <w:i w:val="0"/>
      <w:color w:val="000000"/>
      <w:spacing w:val="5"/>
      <w:kern w:val="28"/>
      <w:sz w:val="46"/>
      <w:szCs w:val="52"/>
      <w:lang w:val="en-US" w:eastAsia="zh-C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320" w:lineRule="exact"/>
    </w:pPr>
    <w:rPr>
      <w:rFonts w:ascii="Arial" w:hAnsi="Arial" w:eastAsia="PingFang SC"/>
      <w:b w:val="0"/>
      <w:i w:val="0"/>
      <w:iCs/>
      <w:color w:val="000000"/>
      <w:spacing w:val="15"/>
      <w:sz w:val="22"/>
      <w:szCs w:val="24"/>
      <w:lang w:val="en-US"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320" w:lineRule="exact"/>
      <w:ind w:left="259" w:hanging="259"/>
      <w:contextualSpacing/>
    </w:pPr>
    <w:rPr>
      <w:rFonts w:ascii="Arial" w:hAnsi="Arial" w:eastAsia="Songti SC"/>
      <w:b w:val="0"/>
      <w:i w:val="0"/>
      <w:color w:val="000000"/>
      <w:sz w:val="22"/>
      <w:lang w:val="en-US" w:eastAsia="zh-C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Group 8 完整训练前阶段报告</dc:title>
  <dc:subject/>
  <dc:creator>Yuhan Sun, Zeyu Pan, Jiayu Liao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