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</w:p>
    <w:p>
      <w:r>
        <w:rPr>
          <w:rFonts w:hint="eastAsia"/>
        </w:rPr>
        <w:t>线上个人信用产品量化风险分析</w:t>
      </w:r>
    </w:p>
    <w:p/>
    <w:p>
      <w:r>
        <w:rPr>
          <w:rFonts w:hint="eastAsia"/>
        </w:rPr>
        <w:t>针对人群：</w:t>
      </w:r>
    </w:p>
    <w:p>
      <w:r>
        <w:rPr>
          <w:rFonts w:hint="eastAsia"/>
        </w:rPr>
        <w:t>对线上信用产品风险分析有实操兴趣的专业和非专业人员。个人信用产品比较广泛的指个人带有信用特征的金融产品，主要指个人贷款，还包括个人融资租赁，借还产品等。这些产品，都带有使用信用，来获得产品和服务的特点。未来会有更广的需求。</w:t>
      </w:r>
    </w:p>
    <w:p/>
    <w:p>
      <w:r>
        <w:t>1. 金融信用行业概况</w:t>
      </w:r>
    </w:p>
    <w:p/>
    <w:p>
      <w:r>
        <w:t>什么是信用？</w:t>
      </w:r>
    </w:p>
    <w:p>
      <w:r>
        <w:t>信用</w:t>
      </w:r>
      <w:r>
        <w:rPr>
          <w:rFonts w:hint="eastAsia"/>
        </w:rPr>
        <w:t>产品</w:t>
      </w:r>
      <w:r>
        <w:t>行业概况</w:t>
      </w:r>
    </w:p>
    <w:p>
      <w:r>
        <w:t>信用</w:t>
      </w:r>
      <w:r>
        <w:rPr>
          <w:rFonts w:hint="eastAsia"/>
        </w:rPr>
        <w:t>产品</w:t>
      </w:r>
      <w:r>
        <w:t>风险</w:t>
      </w:r>
    </w:p>
    <w:p>
      <w:r>
        <w:rPr>
          <w:rFonts w:hint="eastAsia"/>
        </w:rPr>
        <w:t>信用产品</w:t>
      </w:r>
      <w:r>
        <w:t>产品的设计</w:t>
      </w:r>
    </w:p>
    <w:p>
      <w:r>
        <w:rPr>
          <w:rFonts w:hint="eastAsia"/>
        </w:rPr>
        <w:t>在线信用产品的发展和特色</w:t>
      </w:r>
    </w:p>
    <w:p/>
    <w:p>
      <w:r>
        <w:t>2. 数据特性与评估标准</w:t>
      </w:r>
    </w:p>
    <w:p/>
    <w:p>
      <w:r>
        <w:t>中美信用评分的现状</w:t>
      </w:r>
    </w:p>
    <w:p>
      <w:r>
        <w:rPr>
          <w:rFonts w:hint="eastAsia"/>
          <w:lang w:val="en-US" w:eastAsia="zh-CN"/>
        </w:rPr>
        <w:t>信用数据</w:t>
      </w:r>
      <w:r>
        <w:t>源</w:t>
      </w:r>
    </w:p>
    <w:p>
      <w:r>
        <w:t>风控术语与评估标准</w:t>
      </w:r>
    </w:p>
    <w:p>
      <w:r>
        <w:t>数据源获取挑战</w:t>
      </w:r>
    </w:p>
    <w:p/>
    <w:p>
      <w:pPr>
        <w:numPr>
          <w:ilvl w:val="0"/>
          <w:numId w:val="1"/>
        </w:numPr>
      </w:pPr>
      <w:r>
        <w:rPr>
          <w:rFonts w:hint="eastAsia"/>
        </w:rPr>
        <w:t>信用风险系统常用指标</w:t>
      </w:r>
    </w:p>
    <w:p/>
    <w:p>
      <w:r>
        <w:rPr>
          <w:rFonts w:hint="eastAsia"/>
        </w:rPr>
        <w:t>指标甄选原则和特色</w:t>
      </w:r>
    </w:p>
    <w:p>
      <w:r>
        <w:rPr>
          <w:rFonts w:hint="eastAsia"/>
        </w:rPr>
        <w:t>常用指标类型</w:t>
      </w:r>
    </w:p>
    <w:p>
      <w:r>
        <w:rPr>
          <w:rFonts w:hint="eastAsia"/>
        </w:rPr>
        <w:t>常用具体指标</w:t>
      </w:r>
    </w:p>
    <w:p>
      <w:r>
        <w:rPr>
          <w:rFonts w:hint="eastAsia"/>
        </w:rPr>
        <w:t>指标分析</w:t>
      </w:r>
    </w:p>
    <w:p>
      <w:r>
        <w:rPr>
          <w:rFonts w:hint="eastAsia"/>
        </w:rPr>
        <w:t>指标预测</w:t>
      </w:r>
    </w:p>
    <w:p/>
    <w:p>
      <w:pPr>
        <w:numPr>
          <w:ilvl w:val="0"/>
          <w:numId w:val="1"/>
        </w:numPr>
      </w:pPr>
      <w:r>
        <w:t>数据采集与特征提取</w:t>
      </w:r>
    </w:p>
    <w:p/>
    <w:p>
      <w:r>
        <w:t>数据源的选择</w:t>
      </w:r>
    </w:p>
    <w:p>
      <w:r>
        <w:t xml:space="preserve">－ </w:t>
      </w:r>
      <w:r>
        <w:rPr>
          <w:rFonts w:hint="eastAsia"/>
          <w:lang w:val="en-US" w:eastAsia="zh-CN"/>
        </w:rPr>
        <w:t>信用数据的</w:t>
      </w:r>
      <w:r>
        <w:t>金融属性</w:t>
      </w:r>
      <w:r>
        <w:rPr>
          <w:rFonts w:hint="eastAsia"/>
          <w:lang w:val="en-US" w:eastAsia="zh-CN"/>
        </w:rPr>
        <w:t>与产生</w:t>
      </w:r>
    </w:p>
    <w:p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 xml:space="preserve"> </w:t>
      </w:r>
      <w:r>
        <w:t>还款能力</w:t>
      </w:r>
      <w:r>
        <w:rPr>
          <w:rFonts w:hint="eastAsia"/>
          <w:lang w:val="en-US" w:eastAsia="zh-CN"/>
        </w:rPr>
        <w:t>与还款</w:t>
      </w:r>
      <w:r>
        <w:t>意愿</w:t>
      </w:r>
    </w:p>
    <w:p>
      <w:r>
        <w:t>特征的挖掘</w:t>
      </w:r>
    </w:p>
    <w:p>
      <w:r>
        <w:t>－ 特征的挖掘</w:t>
      </w:r>
    </w:p>
    <w:p>
      <w:r>
        <w:t>－ 有效性</w:t>
      </w:r>
      <w:r>
        <w:rPr>
          <w:rFonts w:hint="eastAsia"/>
          <w:lang w:val="en-US" w:eastAsia="zh-CN"/>
        </w:rPr>
        <w:t>和</w:t>
      </w:r>
      <w:r>
        <w:t>稳定性的评估</w:t>
      </w:r>
    </w:p>
    <w:p>
      <w:r>
        <w:t>－ 特征的组合，</w:t>
      </w:r>
    </w:p>
    <w:p>
      <w:r>
        <w:t>－ 迁移学习，主动学习，表征学习</w:t>
      </w:r>
    </w:p>
    <w:p>
      <w:r>
        <w:t>知识图谱的应用</w:t>
      </w:r>
    </w:p>
    <w:p>
      <w:r>
        <w:t>－ 实体和关系的定义</w:t>
      </w:r>
    </w:p>
    <w:p>
      <w:r>
        <w:t>－ 图数据库的技术实现</w:t>
      </w:r>
    </w:p>
    <w:p>
      <w:r>
        <w:t>－ 用Cypher做图谱挖掘</w:t>
      </w:r>
    </w:p>
    <w:p>
      <w:r>
        <w:t>－ 社区挖掘算法案例</w:t>
      </w:r>
    </w:p>
    <w:p>
      <w:pPr>
        <w:rPr>
          <w:rFonts w:hint="eastAsia"/>
        </w:rPr>
      </w:pPr>
      <w:r>
        <w:rPr>
          <w:rFonts w:hint="eastAsia"/>
        </w:rPr>
        <w:t>工程实践</w:t>
      </w:r>
    </w:p>
    <w:p>
      <w:r>
        <w:t>设备指纹</w:t>
      </w:r>
    </w:p>
    <w:p/>
    <w:p>
      <w:r>
        <w:t>5. 信用和欺诈的标注</w:t>
      </w:r>
    </w:p>
    <w:p/>
    <w:p>
      <w:r>
        <w:t>标注获取的挑战</w:t>
      </w:r>
    </w:p>
    <w:p>
      <w:r>
        <w:t>信用标注</w:t>
      </w:r>
    </w:p>
    <w:p>
      <w:r>
        <w:t>－早期产品模型</w:t>
      </w:r>
    </w:p>
    <w:p>
      <w:r>
        <w:t>－ 成熟产品模型</w:t>
      </w:r>
    </w:p>
    <w:p>
      <w:r>
        <w:t>欺诈标注</w:t>
      </w:r>
    </w:p>
    <w:p>
      <w:r>
        <w:t>－欺诈标注的五层分层</w:t>
      </w:r>
    </w:p>
    <w:p/>
    <w:p>
      <w:r>
        <w:t>6. 信用和欺</w:t>
      </w:r>
      <w:r>
        <w:rPr>
          <w:rFonts w:ascii="Songti SC Black" w:hAnsi="Songti SC Black" w:cs="Songti SC Black"/>
        </w:rPr>
        <w:t>诈</w:t>
      </w:r>
      <w:r>
        <w:rPr>
          <w:rFonts w:hint="eastAsia" w:ascii="Songti SC Black" w:hAnsi="Songti SC Black" w:cs="Songti SC Black"/>
          <w:lang w:val="en-US" w:eastAsia="zh-CN"/>
        </w:rPr>
        <w:t>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增量学习</w:t>
      </w:r>
    </w:p>
    <w:p>
      <w:pPr>
        <w:rPr>
          <w:rFonts w:hint="eastAsia"/>
          <w:lang w:val="en-US" w:eastAsia="zh-CN"/>
        </w:rPr>
      </w:pPr>
      <w:r>
        <w:t xml:space="preserve">－ </w:t>
      </w:r>
      <w:r>
        <w:rPr>
          <w:rFonts w:hint="eastAsia"/>
          <w:lang w:val="en-US" w:eastAsia="zh-CN"/>
        </w:rPr>
        <w:t>静态窗口法</w:t>
      </w:r>
    </w:p>
    <w:p>
      <w:r>
        <w:t xml:space="preserve">－ </w:t>
      </w:r>
      <w:r>
        <w:rPr>
          <w:rFonts w:hint="eastAsia"/>
          <w:lang w:val="en-US" w:eastAsia="zh-CN"/>
        </w:rPr>
        <w:t>更新法</w:t>
      </w:r>
    </w:p>
    <w:p>
      <w:r>
        <w:t>－ Forgetting genuine approach</w:t>
      </w:r>
      <w:r>
        <w:rPr>
          <w:rFonts w:hint="eastAsia"/>
          <w:lang w:val="en-US" w:eastAsia="zh-CN"/>
        </w:rPr>
        <w:t xml:space="preserve"> ？</w:t>
      </w:r>
    </w:p>
    <w:p>
      <w:r>
        <w:t>数据非平衡处理：</w:t>
      </w:r>
    </w:p>
    <w:p>
      <w:r>
        <w:t>－ Random oversampling a</w:t>
      </w:r>
      <w:bookmarkStart w:id="0" w:name="_GoBack"/>
      <w:bookmarkEnd w:id="0"/>
      <w:r>
        <w:t>nd undersampling</w:t>
      </w:r>
    </w:p>
    <w:p>
      <w:r>
        <w:t>－ Informed undersampling</w:t>
      </w:r>
    </w:p>
    <w:p>
      <w:r>
        <w:t>－ Synthetic sampling with data generation</w:t>
      </w:r>
    </w:p>
    <w:p>
      <w:r>
        <w:t>－ Adaptive synthetic sampling</w:t>
      </w:r>
    </w:p>
    <w:p>
      <w:r>
        <w:t>－ Sampling with data cleaning techniques</w:t>
      </w:r>
    </w:p>
    <w:p>
      <w:r>
        <w:t>模型策略</w:t>
      </w:r>
    </w:p>
    <w:p>
      <w:r>
        <w:t xml:space="preserve">－ </w:t>
      </w:r>
      <w:r>
        <w:rPr>
          <w:rFonts w:hint="eastAsia"/>
          <w:lang w:val="en-US" w:eastAsia="zh-CN"/>
        </w:rPr>
        <w:t>线性回归</w:t>
      </w:r>
    </w:p>
    <w:p>
      <w:r>
        <w:t xml:space="preserve">－ </w:t>
      </w:r>
      <w:r>
        <w:rPr>
          <w:rFonts w:hint="eastAsia"/>
          <w:lang w:val="en-US" w:eastAsia="zh-CN"/>
        </w:rPr>
        <w:t>梯度提升树</w:t>
      </w:r>
    </w:p>
    <w:p>
      <w:r>
        <w:t xml:space="preserve">－ </w:t>
      </w:r>
      <w:r>
        <w:rPr>
          <w:rFonts w:hint="eastAsia"/>
          <w:lang w:val="en-US" w:eastAsia="zh-CN"/>
        </w:rPr>
        <w:t>深度学习</w:t>
      </w:r>
    </w:p>
    <w:p>
      <w:r>
        <w:t xml:space="preserve">－ </w:t>
      </w:r>
      <w:r>
        <w:rPr>
          <w:rFonts w:hint="eastAsia"/>
          <w:lang w:val="en-US" w:eastAsia="zh-CN"/>
        </w:rPr>
        <w:t>集成学习</w:t>
      </w:r>
    </w:p>
    <w:p/>
    <w:p>
      <w:r>
        <w:t>7. 结果评估</w:t>
      </w:r>
    </w:p>
    <w:p>
      <w:r>
        <w:t xml:space="preserve"> 混淆矩阵</w:t>
      </w:r>
    </w:p>
    <w:p>
      <w:r>
        <w:t xml:space="preserve"> 排序评估方法</w:t>
      </w:r>
    </w:p>
    <w:p>
      <w:r>
        <w:t xml:space="preserve"> ROC</w:t>
      </w:r>
      <w:r>
        <w:rPr>
          <w:rFonts w:hint="eastAsia"/>
          <w:lang w:val="en-US" w:eastAsia="zh-CN"/>
        </w:rPr>
        <w:t>曲线</w:t>
      </w:r>
    </w:p>
    <w:p>
      <w:r>
        <w:t xml:space="preserve"> PR</w:t>
      </w:r>
      <w:r>
        <w:rPr>
          <w:rFonts w:hint="eastAsia"/>
          <w:lang w:val="en-US" w:eastAsia="zh-CN"/>
        </w:rPr>
        <w:t>曲线</w:t>
      </w:r>
    </w:p>
    <w:p/>
    <w:p>
      <w:r>
        <w:t xml:space="preserve">8. </w:t>
      </w:r>
      <w:r>
        <w:rPr>
          <w:rFonts w:hint="eastAsia"/>
        </w:rPr>
        <w:t>模型分数校准</w:t>
      </w:r>
    </w:p>
    <w:p>
      <w:r>
        <w:rPr>
          <w:rFonts w:hint="eastAsia"/>
        </w:rPr>
        <w:t>校准的重要性，准则和基本思路</w:t>
      </w:r>
    </w:p>
    <w:p>
      <w:r>
        <w:rPr>
          <w:rFonts w:hint="eastAsia"/>
        </w:rPr>
        <w:t>校准的理论依据</w:t>
      </w:r>
    </w:p>
    <w:p>
      <w:r>
        <w:rPr>
          <w:rFonts w:hint="eastAsia"/>
        </w:rPr>
        <w:t>校准的具体算法与比较</w:t>
      </w:r>
    </w:p>
    <w:p>
      <w:r>
        <w:rPr>
          <w:rFonts w:hint="eastAsia"/>
        </w:rPr>
        <w:t>—分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方法和原理</w:t>
      </w:r>
    </w:p>
    <w:p>
      <w:r>
        <w:rPr>
          <w:rFonts w:hint="eastAsia"/>
        </w:rPr>
        <w:t>—计算校准分框架</w:t>
      </w:r>
    </w:p>
    <w:p>
      <w:r>
        <w:rPr>
          <w:rFonts w:hint="eastAsia"/>
        </w:rPr>
        <w:t>—查表法与插值法</w:t>
      </w:r>
    </w:p>
    <w:p/>
    <w:p>
      <w:r>
        <w:t>9. 商</w:t>
      </w:r>
      <w:r>
        <w:rPr>
          <w:rFonts w:ascii="Songti SC Black" w:hAnsi="Songti SC Black" w:cs="Songti SC Black"/>
        </w:rPr>
        <w:t>业</w:t>
      </w:r>
      <w:r>
        <w:rPr>
          <w:rFonts w:hint="eastAsia" w:ascii="SimSun" w:hAnsi="SimSun" w:eastAsia="SimSun" w:cs="SimSun"/>
        </w:rPr>
        <w:t>风险</w:t>
      </w:r>
      <w:r>
        <w:t>决策和</w:t>
      </w:r>
      <w:r>
        <w:rPr>
          <w:rFonts w:ascii="Songti SC Black" w:hAnsi="Songti SC Black" w:cs="Songti SC Black"/>
        </w:rPr>
        <w:t>评</w:t>
      </w:r>
      <w:r>
        <w:t>估</w:t>
      </w:r>
    </w:p>
    <w:p>
      <w:r>
        <w:t>利率和额度的确定</w:t>
      </w:r>
    </w:p>
    <w:p>
      <w:r>
        <w:t>营利性的评估</w:t>
      </w:r>
    </w:p>
    <w:p/>
    <w:p>
      <w:pPr>
        <w:rPr>
          <w:rFonts w:hint="eastAsia"/>
        </w:rPr>
      </w:pPr>
      <w:r>
        <w:t>10. 行业案例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深度学习的应用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附录（光盘）</w:t>
      </w:r>
    </w:p>
    <w:p>
      <w:pPr>
        <w:rPr>
          <w:rFonts w:hint="eastAsia"/>
        </w:rPr>
      </w:pPr>
    </w:p>
    <w:p>
      <w:pPr>
        <w:widowControl/>
        <w:jc w:val="left"/>
        <w:rPr>
          <w:rFonts w:ascii="Helvetica" w:hAnsi="Helvetica" w:eastAsia="Times New Roman" w:cs="Times New Roman"/>
          <w:color w:val="000000"/>
          <w:kern w:val="0"/>
          <w:sz w:val="18"/>
          <w:szCs w:val="18"/>
          <w:lang w:eastAsia="en-US"/>
        </w:rPr>
      </w:pPr>
      <w:r>
        <w:rPr>
          <w:rFonts w:ascii="Helvetica" w:hAnsi="Helvetica" w:eastAsia="Times New Roman" w:cs="Times New Roman"/>
          <w:color w:val="000000"/>
          <w:kern w:val="0"/>
          <w:sz w:val="18"/>
          <w:szCs w:val="18"/>
          <w:lang w:eastAsia="en-US"/>
        </w:rPr>
        <w:t xml:space="preserve">— </w:t>
      </w:r>
      <w:r>
        <w:rPr>
          <w:rFonts w:hint="eastAsia" w:ascii="Helvetica" w:hAnsi="Helvetica" w:eastAsia="Times New Roman" w:cs="Times New Roman"/>
          <w:color w:val="000000"/>
          <w:kern w:val="0"/>
          <w:sz w:val="18"/>
          <w:szCs w:val="18"/>
          <w:lang w:eastAsia="en-US"/>
        </w:rPr>
        <w:t>S</w:t>
      </w:r>
      <w:r>
        <w:rPr>
          <w:rFonts w:ascii="Helvetica" w:hAnsi="Helvetica" w:eastAsia="Times New Roman" w:cs="Times New Roman"/>
          <w:color w:val="000000"/>
          <w:kern w:val="0"/>
          <w:sz w:val="18"/>
          <w:szCs w:val="18"/>
          <w:lang w:eastAsia="en-US"/>
        </w:rPr>
        <w:t xml:space="preserve">etup environment </w:t>
      </w:r>
      <w:r>
        <w:rPr>
          <w:rFonts w:ascii="Microsoft Tai Le" w:hAnsi="Microsoft Tai Le" w:eastAsia="Times New Roman" w:cs="Microsoft Tai Le"/>
          <w:color w:val="000000"/>
          <w:kern w:val="0"/>
          <w:sz w:val="18"/>
          <w:szCs w:val="18"/>
          <w:lang w:eastAsia="en-US"/>
        </w:rPr>
        <w:t>（</w:t>
      </w:r>
      <w:r>
        <w:rPr>
          <w:rFonts w:ascii="Helvetica" w:hAnsi="Helvetica" w:eastAsia="Times New Roman" w:cs="Times New Roman"/>
          <w:color w:val="000000"/>
          <w:kern w:val="0"/>
          <w:sz w:val="18"/>
          <w:szCs w:val="18"/>
          <w:lang w:eastAsia="en-US"/>
        </w:rPr>
        <w:t>python</w:t>
      </w:r>
      <w:r>
        <w:rPr>
          <w:rFonts w:ascii="Songti SC Black" w:hAnsi="Songti SC Black" w:eastAsia="Times New Roman" w:cs="Songti SC Black"/>
          <w:color w:val="000000"/>
          <w:kern w:val="0"/>
          <w:sz w:val="18"/>
          <w:szCs w:val="18"/>
          <w:lang w:eastAsia="en-US"/>
        </w:rPr>
        <w:t>／</w:t>
      </w:r>
      <w:r>
        <w:rPr>
          <w:rFonts w:ascii="Helvetica" w:hAnsi="Helvetica" w:eastAsia="Times New Roman" w:cs="Times New Roman"/>
          <w:color w:val="000000"/>
          <w:kern w:val="0"/>
          <w:sz w:val="18"/>
          <w:szCs w:val="18"/>
          <w:lang w:eastAsia="en-US"/>
        </w:rPr>
        <w:t>neo4j</w:t>
      </w:r>
      <w:r>
        <w:rPr>
          <w:rFonts w:ascii="Microsoft Tai Le" w:hAnsi="Microsoft Tai Le" w:eastAsia="Times New Roman" w:cs="Microsoft Tai Le"/>
          <w:color w:val="000000"/>
          <w:kern w:val="0"/>
          <w:sz w:val="18"/>
          <w:szCs w:val="18"/>
          <w:lang w:eastAsia="en-US"/>
        </w:rPr>
        <w:t>）</w:t>
      </w:r>
    </w:p>
    <w:p>
      <w:pPr>
        <w:widowControl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 Black">
    <w:altName w:val="Impact"/>
    <w:panose1 w:val="02010800040101010101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41F73"/>
    <w:multiLevelType w:val="singleLevel"/>
    <w:tmpl w:val="4BF41F7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64990"/>
    <w:rsid w:val="00356851"/>
    <w:rsid w:val="00735F8C"/>
    <w:rsid w:val="008361A2"/>
    <w:rsid w:val="008973F6"/>
    <w:rsid w:val="00BA1F8A"/>
    <w:rsid w:val="01764990"/>
    <w:rsid w:val="03C5708E"/>
    <w:rsid w:val="03FB2207"/>
    <w:rsid w:val="060A519B"/>
    <w:rsid w:val="16DA12E5"/>
    <w:rsid w:val="17734685"/>
    <w:rsid w:val="1B8A3120"/>
    <w:rsid w:val="1CBF7F6D"/>
    <w:rsid w:val="20094CDB"/>
    <w:rsid w:val="2CC2300A"/>
    <w:rsid w:val="31925148"/>
    <w:rsid w:val="41BE4231"/>
    <w:rsid w:val="45C02703"/>
    <w:rsid w:val="50423CB0"/>
    <w:rsid w:val="54ED16F2"/>
    <w:rsid w:val="54FF2E18"/>
    <w:rsid w:val="643859A5"/>
    <w:rsid w:val="733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981</Characters>
  <Lines>8</Lines>
  <Paragraphs>2</Paragraphs>
  <ScaleCrop>false</ScaleCrop>
  <LinksUpToDate>false</LinksUpToDate>
  <CharactersWithSpaces>1151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2018-04-15T23:44:00Z</dcterms:created>
  <dc:creator>zoech</dc:creator>
  <cp:lastModifiedBy>zoech</cp:lastModifiedBy>
  <dcterms:modified xsi:type="dcterms:W3CDTF">2018-05-17T15:01:50Z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